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MDHeading1"/>
      </w:pPr>
      <w:r>
        <w:t xml:space="preserve">CPO Consultant Agreement</w:t>
      </w:r>
      <w:bookmarkStart w:name="cpo-consultant-agreement" w:id="0"/>
      <w:bookmarkEnd w:id="0"/>
    </w:p>
    <w:p>
      <w:pPr>
        <w:pStyle w:val="MDParagraph"/>
      </w:pPr>
      <w:r>
        <w:rPr xmlns:w="http://schemas.openxmlformats.org/wordprocessingml/2006/main">
          <w:b/>
        </w:rPr>
        <w:t xml:space="preserve">Version 1.1</w:t>
      </w:r>
    </w:p>
    <w:p>
      <w:pPr>
        <w:pStyle w:val="MDHeading2"/>
      </w:pPr>
      <w:r>
        <w:t xml:space="preserve">Cover page</w:t>
      </w:r>
      <w:bookmarkStart w:name="cover-page" w:id="1"/>
      <w:bookmarkEnd w:id="1"/>
    </w:p>
    <w:tbl>
      <w:tblPr>
        <w:tblStyle w:val="MDTable"/>
      </w:tblPr>
      <w:tblGrid>
        <w:gridCol/>
        <w:gridCol/>
      </w:tblGrid>
      <w:tr>
        <w:tc>
          <w:tcPr>
            <w:tcW w:w="2000" w:type="dxa"/>
          </w:tcPr>
          <w:p>
            <w:pPr>
              <w:pStyle w:val="MDParagraph"/>
            </w:pPr>
            <w:r>
              <w:t xml:space="preserve">Field</w:t>
            </w:r>
          </w:p>
        </w:tc>
        <w:tc>
          <w:tcPr>
            <w:tcW w:w="2000" w:type="dxa"/>
          </w:tcPr>
          <w:p>
            <w:pPr>
              <w:pStyle w:val="MDParagraph"/>
            </w:pPr>
            <w:r>
              <w:t xml:space="preserve">Value</w:t>
            </w:r>
          </w:p>
        </w:tc>
      </w:tr>
      <w:tr>
        <w:tc>
          <w:tcPr>
            <w:tcW w:w="2000" w:type="dxa"/>
          </w:tcPr>
          <w:p>
            <w:pPr>
              <w:pStyle w:val="MDParagraph"/>
            </w:pPr>
            <w:r>
              <w:t xml:space="preserve">Consultant</w:t>
            </w:r>
          </w:p>
        </w:tc>
        <w:tc>
          <w:tcPr>
            <w:tcW w:w="2000" w:type="dxa"/>
          </w:tcPr>
          <w:p>
            <w:pPr>
              <w:pStyle w:val="MDParagraph"/>
            </w:pPr>
          </w:p>
        </w:tc>
      </w:tr>
      <w:tr>
        <w:tc>
          <w:tcPr>
            <w:tcW w:w="2000" w:type="dxa"/>
          </w:tcPr>
          <w:p>
            <w:pPr>
              <w:pStyle w:val="MDParagraph"/>
            </w:pPr>
            <w:r>
              <w:t xml:space="preserve">Address</w:t>
            </w:r>
          </w:p>
        </w:tc>
        <w:tc>
          <w:tcPr>
            <w:tcW w:w="2000" w:type="dxa"/>
          </w:tcPr>
          <w:p>
            <w:pPr>
              <w:pStyle w:val="MDParagraph"/>
            </w:pPr>
          </w:p>
        </w:tc>
      </w:tr>
      <w:tr>
        <w:tc>
          <w:tcPr>
            <w:tcW w:w="2000" w:type="dxa"/>
          </w:tcPr>
          <w:p>
            <w:pPr>
              <w:pStyle w:val="MDParagraph"/>
            </w:pPr>
            <w:r>
              <w:t xml:space="preserve">Email</w:t>
            </w:r>
          </w:p>
        </w:tc>
        <w:tc>
          <w:tcPr>
            <w:tcW w:w="2000" w:type="dxa"/>
          </w:tcPr>
          <w:p>
            <w:pPr>
              <w:pStyle w:val="MDParagraph"/>
            </w:pPr>
          </w:p>
        </w:tc>
      </w:tr>
      <w:tr>
        <w:tc>
          <w:tcPr>
            <w:tcW w:w="2000" w:type="dxa"/>
          </w:tcPr>
          <w:p>
            <w:pPr>
              <w:pStyle w:val="MDParagraph"/>
            </w:pPr>
            <w:r>
              <w:t xml:space="preserve">Country</w:t>
            </w:r>
          </w:p>
        </w:tc>
        <w:tc>
          <w:tcPr>
            <w:tcW w:w="2000" w:type="dxa"/>
          </w:tcPr>
          <w:p>
            <w:pPr>
              <w:pStyle w:val="MDParagraph"/>
            </w:pPr>
          </w:p>
        </w:tc>
      </w:tr>
      <w:tr>
        <w:tc>
          <w:tcPr>
            <w:tcW w:w="2000" w:type="dxa"/>
          </w:tcPr>
          <w:p>
            <w:pPr>
              <w:pStyle w:val="MDParagraph"/>
            </w:pPr>
            <w:r>
              <w:t xml:space="preserve">Name as listed on our website</w:t>
            </w:r>
          </w:p>
        </w:tc>
        <w:tc>
          <w:tcPr>
            <w:tcW w:w="2000" w:type="dxa"/>
          </w:tcPr>
          <w:p>
            <w:pPr>
              <w:pStyle w:val="MDParagraph"/>
            </w:pPr>
          </w:p>
        </w:tc>
      </w:tr>
      <w:tr>
        <w:tc>
          <w:tcPr>
            <w:tcW w:w="2000" w:type="dxa"/>
          </w:tcPr>
          <w:p>
            <w:pPr>
              <w:pStyle w:val="MDParagraph"/>
            </w:pPr>
            <w:r>
              <w:t xml:space="preserve">Effective date</w:t>
            </w:r>
          </w:p>
        </w:tc>
        <w:tc>
          <w:tcPr>
            <w:tcW w:w="2000" w:type="dxa"/>
          </w:tcPr>
          <w:p>
            <w:pPr>
              <w:pStyle w:val="MDParagraph"/>
            </w:pPr>
          </w:p>
        </w:tc>
      </w:tr>
      <w:tr>
        <w:tc>
          <w:tcPr>
            <w:tcW w:w="2000" w:type="dxa"/>
          </w:tcPr>
          <w:p>
            <w:pPr>
              <w:pStyle w:val="MDParagraph"/>
            </w:pPr>
            <w:r>
              <w:t xml:space="preserve">Agreement version</w:t>
            </w:r>
          </w:p>
        </w:tc>
        <w:tc>
          <w:tcPr>
            <w:tcW w:w="2000" w:type="dxa"/>
          </w:tcPr>
          <w:p>
            <w:pPr>
              <w:pStyle w:val="MDParagraph"/>
            </w:pPr>
            <w:r>
              <w:t xml:space="preserve">1.1</w:t>
            </w:r>
          </w:p>
        </w:tc>
      </w:tr>
    </w:tbl>
    <w:p>
      <w:pPr>
        <w:pStyle w:val="MDParagraph"/>
      </w:pPr>
      <w:r>
        <w:t xml:space="preserve">Every field above needs filling in before either of us signs. If any of it changes later, tell us</w:t>
      </w:r>
      <w:r>
        <w:t xml:space="preserve"> </w:t>
      </w:r>
      <w:r>
        <w:t xml:space="preserve">and we will update our records.</w:t>
      </w:r>
    </w:p>
    <w:p>
      <w:pPr>
        <w:pStyle w:val="MDHeading2"/>
      </w:pPr>
      <w:r>
        <w:t xml:space="preserve">1. Who this is between</w:t>
      </w:r>
      <w:bookmarkStart w:name="1-who-this-is-between" w:id="2"/>
      <w:bookmarkEnd w:id="2"/>
    </w:p>
    <w:p>
      <w:pPr>
        <w:pStyle w:val="MDParagraph"/>
      </w:pPr>
      <w:r>
        <w:t xml:space="preserve">This agreement is between CPO Ltd, registered in the United Kingdom with company number 4012016,</w:t>
      </w:r>
      <w:r>
        <w:t xml:space="preserve"> </w:t>
      </w:r>
      <w:r>
        <w:t xml:space="preserve">and the consultant named on the cover page. Below, "we" and "us" mean CPO Ltd, and "you" means the</w:t>
      </w:r>
      <w:r>
        <w:t xml:space="preserve"> </w:t>
      </w:r>
      <w:r>
        <w:t xml:space="preserve">consultant.</w:t>
      </w:r>
    </w:p>
    <w:p>
      <w:pPr>
        <w:pStyle w:val="MDParagraph"/>
      </w:pPr>
      <w:r>
        <w:t xml:space="preserve">It is written in plain English on purpose. If any part of it reads as unclear or unfair to you,</w:t>
      </w:r>
      <w:r>
        <w:t xml:space="preserve"> </w:t>
      </w:r>
      <w:r>
        <w:t xml:space="preserve">tell us before you sign and we will discuss it.</w:t>
      </w:r>
    </w:p>
    <w:p>
      <w:pPr>
        <w:pStyle w:val="MDParagraph"/>
      </w:pPr>
      <w:r>
        <w:t xml:space="preserve">Everything in this agreement comes to us by email. Send your signed copy there, send any notice</w:t>
      </w:r>
      <w:r>
        <w:t xml:space="preserve"> </w:t>
      </w:r>
      <w:r>
        <w:t xml:space="preserve">this agreement calls for there, and use it whenever a section below says to ask us or tell us:</w:t>
      </w:r>
      <w:r>
        <w:t xml:space="preserve"> </w:t>
      </w:r>
      <w:r>
        <w:t xml:space="preserve">cpo@electronoptics.com</w:t>
      </w:r>
    </w:p>
    <w:p>
      <w:pPr>
        <w:pStyle w:val="MDHeading2"/>
      </w:pPr>
      <w:r>
        <w:t xml:space="preserve">2. What the consultant network is</w:t>
      </w:r>
      <w:bookmarkStart w:name="2-what-the-consultant-network-is" w:id="3"/>
      <w:bookmarkEnd w:id="3"/>
    </w:p>
    <w:p>
      <w:pPr>
        <w:pStyle w:val="MDParagraph"/>
      </w:pPr>
      <w:r>
        <w:t xml:space="preserve">We list independent specialists who use our CPO software in their own work, so that customers</w:t>
      </w:r>
      <w:r>
        <w:t xml:space="preserve"> </w:t>
      </w:r>
      <w:r>
        <w:t xml:space="preserve">buying a licence can find someone who already knows the programs and the physics.</w:t>
      </w:r>
    </w:p>
    <w:p>
      <w:pPr>
        <w:pStyle w:val="MDParagraph"/>
      </w:pPr>
      <w:r>
        <w:t xml:space="preserve">Being listed costs you nothing. It does not make you our employee, and it does not oblige you to</w:t>
      </w:r>
      <w:r>
        <w:t xml:space="preserve"> </w:t>
      </w:r>
      <w:r>
        <w:t xml:space="preserve">take on any particular piece of work.</w:t>
      </w:r>
    </w:p>
    <w:p>
      <w:pPr>
        <w:pStyle w:val="MDHeading2"/>
      </w:pPr>
      <w:r>
        <w:t xml:space="preserve">3. Kick-off consultations</w:t>
      </w:r>
      <w:bookmarkStart w:name="3-kickoff-consultations" w:id="4"/>
      <w:bookmarkEnd w:id="4"/>
    </w:p>
    <w:p>
      <w:pPr>
        <w:pStyle w:val="MDParagraph"/>
      </w:pPr>
      <w:r>
        <w:t xml:space="preserve">Every new CPO licence includes one kick-off consultation, which we pay for.</w:t>
      </w:r>
    </w:p>
    <w:p>
      <w:pPr>
        <w:pStyle w:val="MDParagraph"/>
      </w:pPr>
      <w:r>
        <w:t xml:space="preserve">The customer chooses a consultant from our website and we make the introduction. You are free to</w:t>
      </w:r>
      <w:r>
        <w:t xml:space="preserve"> </w:t>
      </w:r>
      <w:r>
        <w:t xml:space="preserve">turn any introduction down - because of a conflict of interest, because the work is outside your</w:t>
      </w:r>
      <w:r>
        <w:t xml:space="preserve"> </w:t>
      </w:r>
      <w:r>
        <w:t xml:space="preserve">expertise, or simply because you do not have the time. You do not have to give a reason.</w:t>
      </w:r>
    </w:p>
    <w:p>
      <w:pPr>
        <w:pStyle w:val="MDParagraph"/>
      </w:pPr>
      <w:r>
        <w:t xml:space="preserve">A kick-off consultation is up to six hours of your time. That includes any preparation, the session</w:t>
      </w:r>
      <w:r>
        <w:t xml:space="preserve"> </w:t>
      </w:r>
      <w:r>
        <w:t xml:space="preserve">itself, and a short written note to the customer afterwards setting out what you discussed and what</w:t>
      </w:r>
      <w:r>
        <w:t xml:space="preserve"> </w:t>
      </w:r>
      <w:r>
        <w:t xml:space="preserve">you recommend. You may scope it more tightly than six hours if that suits the work, and you are not</w:t>
      </w:r>
      <w:r>
        <w:t xml:space="preserve"> </w:t>
      </w:r>
      <w:r>
        <w:t xml:space="preserve">expected to go beyond it.</w:t>
      </w:r>
    </w:p>
    <w:p>
      <w:pPr>
        <w:pStyle w:val="MDParagraph"/>
      </w:pPr>
      <w:r>
        <w:t xml:space="preserve">The customer has six months from the date they buy their licence to use their kick-off. If they</w:t>
      </w:r>
      <w:r>
        <w:t xml:space="preserve"> </w:t>
      </w:r>
      <w:r>
        <w:t xml:space="preserve">need longer, they can ask us.</w:t>
      </w:r>
    </w:p>
    <w:p>
      <w:pPr>
        <w:pStyle w:val="MDHeading2"/>
      </w:pPr>
      <w:r>
        <w:t xml:space="preserve">4. Getting paid</w:t>
      </w:r>
      <w:bookmarkStart w:name="4-getting-paid" w:id="5"/>
      <w:bookmarkEnd w:id="5"/>
    </w:p>
    <w:p>
      <w:pPr>
        <w:pStyle w:val="MDParagraph"/>
      </w:pPr>
      <w:r>
        <w:t xml:space="preserve">Send us an invoice for £500 after the session.</w:t>
      </w:r>
    </w:p>
    <w:p>
      <w:pPr>
        <w:pStyle w:val="MDParagraph"/>
      </w:pPr>
      <w:r>
        <w:t xml:space="preserve">We will ask the customer how it went. We will pay you within 30 days of your invoice by bank</w:t>
      </w:r>
      <w:r>
        <w:t xml:space="preserve"> </w:t>
      </w:r>
      <w:r>
        <w:t xml:space="preserve">transfer, whether or not the customer has replied to us. If the customer tells us they were</w:t>
      </w:r>
      <w:r>
        <w:t xml:space="preserve"> </w:t>
      </w:r>
      <w:r>
        <w:t xml:space="preserve">unhappy, we will talk to you about it.</w:t>
      </w:r>
    </w:p>
    <w:p>
      <w:pPr>
        <w:pStyle w:val="MDParagraph"/>
      </w:pPr>
      <w:r>
        <w:t xml:space="preserve">You are responsible for your own taxes, and for any registration or reporting your own country</w:t>
      </w:r>
      <w:r>
        <w:t xml:space="preserve"> </w:t>
      </w:r>
      <w:r>
        <w:t xml:space="preserve">requires. We do not deduct anything from the fee. Each of us pays our own bank's charges on the</w:t>
      </w:r>
      <w:r>
        <w:t xml:space="preserve"> </w:t>
      </w:r>
      <w:r>
        <w:t xml:space="preserve">transfer.</w:t>
      </w:r>
    </w:p>
    <w:p>
      <w:pPr>
        <w:pStyle w:val="MDParagraph"/>
      </w:pPr>
      <w:r>
        <w:t xml:space="preserve">One thing we ask you to tell us about. If you have an interest in the customer who bought the</w:t>
      </w:r>
      <w:r>
        <w:t xml:space="preserve"> </w:t>
      </w:r>
      <w:r>
        <w:t xml:space="preserve">licence - you work for them, you own part of the business, or they are a close connection - say so</w:t>
      </w:r>
      <w:r>
        <w:t xml:space="preserve"> </w:t>
      </w:r>
      <w:r>
        <w:t xml:space="preserve">before you accept the introduction. We will usually still be glad for you to do the work. What we</w:t>
      </w:r>
      <w:r>
        <w:t xml:space="preserve"> </w:t>
      </w:r>
      <w:r>
        <w:t xml:space="preserve">will not do is pay a kick-off fee on an introduction arranged between you and someone close to you</w:t>
      </w:r>
      <w:r>
        <w:t xml:space="preserve"> </w:t>
      </w:r>
      <w:r>
        <w:t xml:space="preserve">without our knowing.</w:t>
      </w:r>
    </w:p>
    <w:p>
      <w:pPr>
        <w:pStyle w:val="MDHeading2"/>
      </w:pPr>
      <w:r>
        <w:t xml:space="preserve">5. Work after the kick-off</w:t>
      </w:r>
      <w:bookmarkStart w:name="5-work-after-the-kickoff" w:id="6"/>
      <w:bookmarkEnd w:id="6"/>
    </w:p>
    <w:p>
      <w:pPr>
        <w:pStyle w:val="MDParagraph"/>
      </w:pPr>
      <w:r>
        <w:t xml:space="preserve">Anything you agree with the customer after the kick-off is between you and them.</w:t>
      </w:r>
    </w:p>
    <w:p>
      <w:pPr>
        <w:pStyle w:val="MDParagraph"/>
      </w:pPr>
      <w:r>
        <w:t xml:space="preserve">We take no commission on it. We do not set your rates, we do not review your contract, and we are</w:t>
      </w:r>
      <w:r>
        <w:t xml:space="preserve"> </w:t>
      </w:r>
      <w:r>
        <w:t xml:space="preserve">not a party to it. We would rather stay out of it: it is simpler all round, and it keeps us out of</w:t>
      </w:r>
      <w:r>
        <w:t xml:space="preserve"> </w:t>
      </w:r>
      <w:r>
        <w:t xml:space="preserve">work we are not qualified to supervise.</w:t>
      </w:r>
    </w:p>
    <w:p>
      <w:pPr>
        <w:pStyle w:val="MDParagraph"/>
      </w:pPr>
      <w:r>
        <w:t xml:space="preserve">If a disagreement comes up between you and a customer and you both want us to help, we will. That</w:t>
      </w:r>
      <w:r>
        <w:t xml:space="preserve"> </w:t>
      </w:r>
      <w:r>
        <w:t xml:space="preserve">is a favour rather than an obligation, and we are not taking sides.</w:t>
      </w:r>
    </w:p>
    <w:p>
      <w:pPr>
        <w:pStyle w:val="MDHeading2"/>
      </w:pPr>
      <w:r>
        <w:t xml:space="preserve">6. Who you support</w:t>
      </w:r>
      <w:bookmarkStart w:name="6-who-you-support" w:id="7"/>
      <w:bookmarkEnd w:id="7"/>
    </w:p>
    <w:p>
      <w:pPr>
        <w:pStyle w:val="MDParagraph"/>
      </w:pPr>
      <w:r>
        <w:t xml:space="preserve">We ask you to consult only for people holding a current paid CPO licence.</w:t>
      </w:r>
    </w:p>
    <w:p>
      <w:pPr>
        <w:pStyle w:val="MDParagraph"/>
      </w:pPr>
      <w:r>
        <w:t xml:space="preserve">This is the one real commitment we ask of you, and the reason is straightforward: sales are what</w:t>
      </w:r>
      <w:r>
        <w:t xml:space="preserve"> </w:t>
      </w:r>
      <w:r>
        <w:t xml:space="preserve">pay for the software's continued development. The free edition exists for learning, teaching and</w:t>
      </w:r>
      <w:r>
        <w:t xml:space="preserve"> </w:t>
      </w:r>
      <w:r>
        <w:t xml:space="preserve">non-profit research, and is not licensed for commercial work at all.</w:t>
      </w:r>
    </w:p>
    <w:p>
      <w:pPr>
        <w:pStyle w:val="MDParagraph"/>
      </w:pPr>
      <w:r>
        <w:t xml:space="preserve">If someone approaches you without a licence, please direct them to us.</w:t>
      </w:r>
    </w:p>
    <w:p>
      <w:pPr>
        <w:pStyle w:val="MDHeading2"/>
      </w:pPr>
      <w:r>
        <w:t xml:space="preserve">7. The CPO Complete licence we give you</w:t>
      </w:r>
      <w:bookmarkStart w:name="7-the-cpo-complete-licence-we-give-you" w:id="8"/>
      <w:bookmarkEnd w:id="8"/>
    </w:p>
    <w:p>
      <w:pPr>
        <w:pStyle w:val="MDParagraph"/>
      </w:pPr>
      <w:r>
        <w:t xml:space="preserve">Once a customer has bought a package and engaged you, we will give you a licence for CPO Complete</w:t>
      </w:r>
      <w:r>
        <w:t xml:space="preserve"> </w:t>
      </w:r>
      <w:r>
        <w:t xml:space="preserve">at our own cost, so that you can do the work.</w:t>
      </w:r>
    </w:p>
    <w:p>
      <w:pPr>
        <w:pStyle w:val="MDParagraph"/>
      </w:pPr>
      <w:r>
        <w:t xml:space="preserve">That licence is for you, the person named on the cover page. It is not for your employer, your</w:t>
      </w:r>
      <w:r>
        <w:t xml:space="preserve"> </w:t>
      </w:r>
      <w:r>
        <w:t xml:space="preserve">firm, your colleagues or your students, and you may not transfer it, sublicence it, or share your</w:t>
      </w:r>
      <w:r>
        <w:t xml:space="preserve"> </w:t>
      </w:r>
      <w:r>
        <w:t xml:space="preserve">installation with anyone else.</w:t>
      </w:r>
    </w:p>
    <w:p>
      <w:pPr>
        <w:pStyle w:val="MDParagraph"/>
      </w:pPr>
      <w:r>
        <w:t xml:space="preserve">You may use it for commercial work only where the work is for a customer holding a</w:t>
      </w:r>
      <w:r>
        <w:t xml:space="preserve"> </w:t>
      </w:r>
      <w:r>
        <w:t xml:space="preserve">current paid CPO licence. It does not matter whether we introduced that customer to you. Any</w:t>
      </w:r>
      <w:r>
        <w:t xml:space="preserve"> </w:t>
      </w:r>
      <w:r>
        <w:t xml:space="preserve">other paid use falls outside this licence - for example, consultancy for clients without a licence,</w:t>
      </w:r>
      <w:r>
        <w:t xml:space="preserve"> </w:t>
      </w:r>
      <w:r>
        <w:t xml:space="preserve">work for an employer who does not hold one, running paid training courses on the software, or</w:t>
      </w:r>
      <w:r>
        <w:t xml:space="preserve"> </w:t>
      </w:r>
      <w:r>
        <w:t xml:space="preserve">building a service that other people pay to use.</w:t>
      </w:r>
    </w:p>
    <w:p>
      <w:pPr>
        <w:pStyle w:val="MDParagraph"/>
      </w:pPr>
      <w:r>
        <w:t xml:space="preserve">You may use it freely for your own learning and for keeping your skills current.</w:t>
      </w:r>
    </w:p>
    <w:p>
      <w:pPr>
        <w:pStyle w:val="MDParagraph"/>
      </w:pPr>
      <w:r>
        <w:t xml:space="preserve">If you need the software before your first engagement, use the evaluation edition to prove out an</w:t>
      </w:r>
      <w:r>
        <w:t xml:space="preserve"> </w:t>
      </w:r>
      <w:r>
        <w:t xml:space="preserve">idea, or ask us and we will see what we can do.</w:t>
      </w:r>
    </w:p>
    <w:p>
      <w:pPr>
        <w:pStyle w:val="MDParagraph"/>
      </w:pPr>
      <w:r>
        <w:t xml:space="preserve">The ordinary CPO licence terms apply to your copy as well as this section: </w:t>
      </w:r>
      <w:hyperlink r:id="L1">
        <w:r>
          <w:rPr>
            <w:rStyle w:val="MDHyperlink"/>
          </w:rPr>
          <w:t xml:space="preserve">https://electronoptics.com/help/licence</w:t>
        </w:r>
      </w:hyperlink>
    </w:p>
    <w:p>
      <w:pPr>
        <w:pStyle w:val="MDParagraph"/>
      </w:pPr>
      <w:r>
        <w:t xml:space="preserve">Your licence ends when you leave the network.</w:t>
      </w:r>
    </w:p>
    <w:p>
      <w:pPr>
        <w:pStyle w:val="MDHeading2"/>
      </w:pPr>
      <w:r>
        <w:t xml:space="preserve">8. Your listing on our website</w:t>
      </w:r>
      <w:bookmarkStart w:name="8-your-listing-on-our-website" w:id="9"/>
      <w:bookmarkEnd w:id="9"/>
    </w:p>
    <w:p>
      <w:pPr>
        <w:pStyle w:val="MDParagraph"/>
      </w:pPr>
      <w:r>
        <w:t xml:space="preserve">We will not publish anything about you that you have not seen and approved.</w:t>
      </w:r>
    </w:p>
    <w:p>
      <w:pPr>
        <w:pStyle w:val="MDParagraph"/>
      </w:pPr>
      <w:r>
        <w:t xml:space="preserve">You can change your listing whenever you like, mark yourself unavailable for a while, or ask to be</w:t>
      </w:r>
      <w:r>
        <w:t xml:space="preserve"> </w:t>
      </w:r>
      <w:r>
        <w:t xml:space="preserve">taken off the site altogether. Your email address is never shown publicly unless you tell us to</w:t>
      </w:r>
      <w:r>
        <w:t xml:space="preserve"> </w:t>
      </w:r>
      <w:r>
        <w:t xml:space="preserve">show it. Listings appear in a different order on each visit, so that nobody is permanently at the</w:t>
      </w:r>
      <w:r>
        <w:t xml:space="preserve"> </w:t>
      </w:r>
      <w:r>
        <w:t xml:space="preserve">top. At the moment, these amendments are by email. If you would like to be able to do them yourself, tell us and we will see what we can do.</w:t>
      </w:r>
    </w:p>
    <w:p>
      <w:pPr>
        <w:pStyle w:val="MDHeading2"/>
      </w:pPr>
      <w:r>
        <w:t xml:space="preserve">9. Keeping things confidential</w:t>
      </w:r>
      <w:bookmarkStart w:name="9-keeping-things-confidential" w:id="10"/>
      <w:bookmarkEnd w:id="10"/>
    </w:p>
    <w:p>
      <w:pPr>
        <w:pStyle w:val="MDParagraph"/>
      </w:pPr>
      <w:r>
        <w:t xml:space="preserve">Anything a customer tells you in confidence stays confidential, and so does anything we tell you</w:t>
      </w:r>
      <w:r>
        <w:t xml:space="preserve"> </w:t>
      </w:r>
      <w:r>
        <w:t xml:space="preserve">about a customer, an introduction, or our plans.</w:t>
      </w:r>
    </w:p>
    <w:p>
      <w:pPr>
        <w:pStyle w:val="MDParagraph"/>
      </w:pPr>
      <w:r>
        <w:t xml:space="preserve">Some customers will want a signed non-disclosure agreement before they say very much. That is</w:t>
      </w:r>
      <w:r>
        <w:t xml:space="preserve"> </w:t>
      </w:r>
      <w:r>
        <w:t xml:space="preserve">normal, and it is between you and them. If it helps, we publish a plain English mutual NDA that you</w:t>
      </w:r>
      <w:r>
        <w:t xml:space="preserve"> </w:t>
      </w:r>
      <w:r>
        <w:t xml:space="preserve">are welcome to use: </w:t>
      </w:r>
      <w:hyperlink r:id="L2">
        <w:r>
          <w:rPr>
            <w:rStyle w:val="MDHyperlink"/>
          </w:rPr>
          <w:t xml:space="preserve">https://electronoptics.com/help/nda</w:t>
        </w:r>
      </w:hyperlink>
    </w:p>
    <w:p>
      <w:pPr>
        <w:pStyle w:val="MDParagraph"/>
      </w:pPr>
      <w:r>
        <w:t xml:space="preserve">This section carries on applying after this agreement ends.</w:t>
      </w:r>
    </w:p>
    <w:p>
      <w:pPr>
        <w:pStyle w:val="MDHeading2"/>
      </w:pPr>
      <w:r>
        <w:t xml:space="preserve">10. Customer information we pass to you</w:t>
      </w:r>
      <w:bookmarkStart w:name="10-customer-information-we-pass-to-you" w:id="11"/>
      <w:bookmarkEnd w:id="11"/>
    </w:p>
    <w:p>
      <w:pPr>
        <w:pStyle w:val="MDParagraph"/>
      </w:pPr>
      <w:r>
        <w:t xml:space="preserve">When we introduce you to a customer, we pass on their name, their email address, and a short</w:t>
      </w:r>
      <w:r>
        <w:t xml:space="preserve"> </w:t>
      </w:r>
      <w:r>
        <w:t xml:space="preserve">description of what they are working on.</w:t>
      </w:r>
    </w:p>
    <w:p>
      <w:pPr>
        <w:pStyle w:val="MDParagraph"/>
      </w:pPr>
      <w:r>
        <w:t xml:space="preserve">Once you have it, that information is yours to look after and you decide how you use it for the</w:t>
      </w:r>
      <w:r>
        <w:t xml:space="preserve"> </w:t>
      </w:r>
      <w:r>
        <w:t xml:space="preserve">engagement. In data protection terms you are an independent controller of it, not processing it on</w:t>
      </w:r>
      <w:r>
        <w:t xml:space="preserve"> </w:t>
      </w:r>
      <w:r>
        <w:t xml:space="preserve">our behalf. Use it for the engagement and for work the customer asks you to do. Do not add</w:t>
      </w:r>
      <w:r>
        <w:t xml:space="preserve"> </w:t>
      </w:r>
      <w:r>
        <w:t xml:space="preserve">customers to a mailing list or send them marketing unless they have agreed to it.</w:t>
      </w:r>
    </w:p>
    <w:p>
      <w:pPr>
        <w:pStyle w:val="MDParagraph"/>
      </w:pPr>
      <w:r>
        <w:t xml:space="preserve">If a customer asks you to delete what you hold, please do, unless you have a legal reason to keep</w:t>
      </w:r>
      <w:r>
        <w:t xml:space="preserve"> </w:t>
      </w:r>
      <w:r>
        <w:t xml:space="preserve">it.</w:t>
      </w:r>
    </w:p>
    <w:p>
      <w:pPr>
        <w:pStyle w:val="MDHeading2"/>
      </w:pPr>
      <w:r>
        <w:t xml:space="preserve">11. Who owns the work</w:t>
      </w:r>
      <w:bookmarkStart w:name="11-who-owns-the-work" w:id="12"/>
      <w:bookmarkEnd w:id="12"/>
    </w:p>
    <w:p>
      <w:pPr>
        <w:pStyle w:val="MDParagraph"/>
      </w:pPr>
      <w:r>
        <w:t xml:space="preserve">We do not claim any ownership of the work you do for a customer. Not the models, not the reports,</w:t>
      </w:r>
      <w:r>
        <w:t xml:space="preserve"> </w:t>
      </w:r>
      <w:r>
        <w:t xml:space="preserve">not the recommendations.</w:t>
      </w:r>
    </w:p>
    <w:p>
      <w:pPr>
        <w:pStyle w:val="MDParagraph"/>
      </w:pPr>
      <w:r>
        <w:t xml:space="preserve">What you and the customer agree between yourselves about ownership of the deliverables is up to the</w:t>
      </w:r>
      <w:r>
        <w:t xml:space="preserve"> </w:t>
      </w:r>
      <w:r>
        <w:t xml:space="preserve">two of you, and it is worth agreeing in writing at the start. Most customers will expect to own</w:t>
      </w:r>
      <w:r>
        <w:t xml:space="preserve"> </w:t>
      </w:r>
      <w:r>
        <w:t xml:space="preserve">what they have paid for.</w:t>
      </w:r>
    </w:p>
    <w:p>
      <w:pPr>
        <w:pStyle w:val="MDParagraph"/>
      </w:pPr>
      <w:r>
        <w:t xml:space="preserve">We claim no ownership of a customer's own files either, in the same way the company that makes a</w:t>
      </w:r>
      <w:r>
        <w:t xml:space="preserve"> </w:t>
      </w:r>
      <w:r>
        <w:t xml:space="preserve">word processor has no claim on the documents written with it. Nothing about our software gives us a</w:t>
      </w:r>
      <w:r>
        <w:t xml:space="preserve"> </w:t>
      </w:r>
      <w:r>
        <w:t xml:space="preserve">claim to them, and we do not lock anyone in: a customer can keep their project files, hand them to</w:t>
      </w:r>
      <w:r>
        <w:t xml:space="preserve"> </w:t>
      </w:r>
      <w:r>
        <w:t xml:space="preserve">someone else, and open them under their own licence, during the engagement and after it.</w:t>
      </w:r>
    </w:p>
    <w:p>
      <w:pPr>
        <w:pStyle w:val="MDParagraph"/>
      </w:pPr>
      <w:r>
        <w:t xml:space="preserve">The software itself, its documentation and our website content remain ours.</w:t>
      </w:r>
    </w:p>
    <w:p>
      <w:pPr>
        <w:pStyle w:val="MDHeading2"/>
      </w:pPr>
      <w:r>
        <w:t xml:space="preserve">12. You are independent, not employed by us</w:t>
      </w:r>
      <w:bookmarkStart w:name="12-you-are-independent-not-employed-by-u" w:id="13"/>
      <w:bookmarkEnd w:id="13"/>
    </w:p>
    <w:p>
      <w:pPr>
        <w:pStyle w:val="MDParagraph"/>
      </w:pPr>
      <w:r>
        <w:t xml:space="preserve">You are an independent consultant. This agreement does not make you our employee, our agent, our</w:t>
      </w:r>
      <w:r>
        <w:t xml:space="preserve"> </w:t>
      </w:r>
      <w:r>
        <w:t xml:space="preserve">partner or our representative, and it does not create a joint venture.</w:t>
      </w:r>
    </w:p>
    <w:p>
      <w:pPr>
        <w:pStyle w:val="MDParagraph"/>
      </w:pPr>
      <w:r>
        <w:t xml:space="preserve">You cannot enter into commitments on our behalf, quote prices for our software, or hold yourself</w:t>
      </w:r>
      <w:r>
        <w:t xml:space="preserve"> </w:t>
      </w:r>
      <w:r>
        <w:t xml:space="preserve">out as speaking for CPO Ltd.</w:t>
      </w:r>
    </w:p>
    <w:p>
      <w:pPr>
        <w:pStyle w:val="MDParagraph"/>
      </w:pPr>
      <w:r>
        <w:t xml:space="preserve">You are welcome to say that you are an independent consultant in the CPO consultant network, and to</w:t>
      </w:r>
      <w:r>
        <w:t xml:space="preserve"> </w:t>
      </w:r>
      <w:r>
        <w:t xml:space="preserve">link to your listing on our site. Please do not describe yourself as working for CPO Ltd, or use</w:t>
      </w:r>
      <w:r>
        <w:t xml:space="preserve"> </w:t>
      </w:r>
      <w:r>
        <w:t xml:space="preserve">our logo on your own materials without asking us first.</w:t>
      </w:r>
    </w:p>
    <w:p>
      <w:pPr>
        <w:pStyle w:val="MDHeading2"/>
      </w:pPr>
      <w:r>
        <w:t xml:space="preserve">13. No warranty, and limits on what either of us owes the other</w:t>
      </w:r>
      <w:bookmarkStart w:name="13-no-warranty-and-limits-on-what-either" w:id="14"/>
      <w:bookmarkEnd w:id="14"/>
    </w:p>
    <w:p>
      <w:pPr>
        <w:pStyle w:val="MDParagraph"/>
      </w:pPr>
      <w:r>
        <w:t xml:space="preserve">Your advice is your own. We do not check it, approve it, or stand behind it, and we are not liable</w:t>
      </w:r>
      <w:r>
        <w:t xml:space="preserve"> </w:t>
      </w:r>
      <w:r>
        <w:t xml:space="preserve">to a customer or to anyone else for it. If a customer has a complaint about your advice, that is a</w:t>
      </w:r>
      <w:r>
        <w:t xml:space="preserve"> </w:t>
      </w:r>
      <w:r>
        <w:t xml:space="preserve">matter between you and them.</w:t>
      </w:r>
    </w:p>
    <w:p>
      <w:pPr>
        <w:pStyle w:val="MDParagraph"/>
      </w:pPr>
      <w:r>
        <w:t xml:space="preserve">Our total liability to you under this agreement, for anything, is limited to the fees we have paid</w:t>
      </w:r>
      <w:r>
        <w:t xml:space="preserve"> </w:t>
      </w:r>
      <w:r>
        <w:t xml:space="preserve">or owe you over the twelve months before the problem arose.</w:t>
      </w:r>
    </w:p>
    <w:p>
      <w:pPr>
        <w:pStyle w:val="MDParagraph"/>
      </w:pPr>
      <w:r>
        <w:t xml:space="preserve">Our software is supplied as it is. We give no warranty that every error has been removed from it or</w:t>
      </w:r>
      <w:r>
        <w:t xml:space="preserve"> </w:t>
      </w:r>
      <w:r>
        <w:t xml:space="preserve">from its documentation, and no warranty that it is suitable or fit for any particular purpose.</w:t>
      </w:r>
      <w:r>
        <w:t xml:space="preserve"> </w:t>
      </w:r>
      <w:r>
        <w:t xml:space="preserve">Neither we, nor our employees, contractors or agents, nor the authors of the software, are liable</w:t>
      </w:r>
      <w:r>
        <w:t xml:space="preserve"> </w:t>
      </w:r>
      <w:r>
        <w:t xml:space="preserve">for any loss, damage, cost, expense, claim or fee arising from any deficiency, defect or error in</w:t>
      </w:r>
      <w:r>
        <w:t xml:space="preserve"> </w:t>
      </w:r>
      <w:r>
        <w:t xml:space="preserve">it.</w:t>
      </w:r>
    </w:p>
    <w:p>
      <w:pPr>
        <w:pStyle w:val="MDParagraph"/>
      </w:pPr>
      <w:r>
        <w:t xml:space="preserve">Nothing here limits anything that cannot lawfully be limited.</w:t>
      </w:r>
    </w:p>
    <w:p>
      <w:pPr>
        <w:pStyle w:val="MDHeading2"/>
      </w:pPr>
      <w:r>
        <w:t xml:space="preserve">14. Export controls and sanctions</w:t>
      </w:r>
      <w:bookmarkStart w:name="14-export-controls-and-sanctions" w:id="15"/>
      <w:bookmarkEnd w:id="15"/>
    </w:p>
    <w:p>
      <w:pPr>
        <w:pStyle w:val="MDParagraph"/>
      </w:pPr>
      <w:r>
        <w:t xml:space="preserve">Charged particle optics has uses that some countries control.</w:t>
      </w:r>
    </w:p>
    <w:p>
      <w:pPr>
        <w:pStyle w:val="MDParagraph"/>
      </w:pPr>
      <w:r>
        <w:t xml:space="preserve">You are responsible for complying with the export control and sanctions law that applies to you, to</w:t>
      </w:r>
      <w:r>
        <w:t xml:space="preserve"> </w:t>
      </w:r>
      <w:r>
        <w:t xml:space="preserve">your customer, and to the country you are working in. If an engagement we introduce you to looks as</w:t>
      </w:r>
      <w:r>
        <w:t xml:space="preserve"> </w:t>
      </w:r>
      <w:r>
        <w:t xml:space="preserve">though it might raise an export control or sanctions question, tell us, and do not start work until</w:t>
      </w:r>
      <w:r>
        <w:t xml:space="preserve"> </w:t>
      </w:r>
      <w:r>
        <w:t xml:space="preserve">it is settled. We would far rather lose a sale than be part of something we should not be.</w:t>
      </w:r>
    </w:p>
    <w:p>
      <w:pPr>
        <w:pStyle w:val="MDHeading2"/>
      </w:pPr>
      <w:r>
        <w:t xml:space="preserve">15. Ending this agreement</w:t>
      </w:r>
      <w:bookmarkStart w:name="15-ending-this-agreement" w:id="16"/>
      <w:bookmarkEnd w:id="16"/>
    </w:p>
    <w:p>
      <w:pPr>
        <w:pStyle w:val="MDParagraph"/>
      </w:pPr>
      <w:r>
        <w:t xml:space="preserve">Either of us can end this agreement at any time by giving the other 30 days' notice in writing.</w:t>
      </w:r>
      <w:r>
        <w:t xml:space="preserve"> </w:t>
      </w:r>
      <w:r>
        <w:t xml:space="preserve">Neither of us has to give a reason.</w:t>
      </w:r>
    </w:p>
    <w:p>
      <w:pPr>
        <w:pStyle w:val="MDParagraph"/>
      </w:pPr>
      <w:r>
        <w:t xml:space="preserve">Either of us can end it immediately if the other seriously breaks it.</w:t>
      </w:r>
    </w:p>
    <w:p>
      <w:pPr>
        <w:pStyle w:val="MDParagraph"/>
      </w:pPr>
      <w:r>
        <w:t xml:space="preserve">If a kick-off has already been agreed with a customer when notice is given, please finish it. We</w:t>
      </w:r>
      <w:r>
        <w:t xml:space="preserve"> </w:t>
      </w:r>
      <w:r>
        <w:t xml:space="preserve">will pay for it as normal.</w:t>
      </w:r>
    </w:p>
    <w:p>
      <w:pPr>
        <w:pStyle w:val="MDParagraph"/>
      </w:pPr>
      <w:r>
        <w:t xml:space="preserve">When this agreement ends, your CPO Complete licence ends with it, and we will take your listing off</w:t>
      </w:r>
      <w:r>
        <w:t xml:space="preserve"> </w:t>
      </w:r>
      <w:r>
        <w:t xml:space="preserve">the site. Sections 9, 10, 11, 12 and 13 carry on applying.</w:t>
      </w:r>
    </w:p>
    <w:p>
      <w:pPr>
        <w:pStyle w:val="MDHeading2"/>
      </w:pPr>
      <w:r>
        <w:t xml:space="preserve">16. Changes to this agreement</w:t>
      </w:r>
      <w:bookmarkStart w:name="16-changes-to-this-agreement" w:id="17"/>
      <w:bookmarkEnd w:id="17"/>
    </w:p>
    <w:p>
      <w:pPr>
        <w:pStyle w:val="MDParagraph"/>
      </w:pPr>
      <w:r>
        <w:t xml:space="preserve">This is version 1.1. If we change it, we will email you the new version at least 30 days before it</w:t>
      </w:r>
      <w:r>
        <w:t xml:space="preserve"> </w:t>
      </w:r>
      <w:r>
        <w:t xml:space="preserve">takes effect.</w:t>
      </w:r>
    </w:p>
    <w:p>
      <w:pPr>
        <w:pStyle w:val="MDParagraph"/>
      </w:pPr>
      <w:r>
        <w:t xml:space="preserve">Carrying on as a consultant after that date means you accept the new version. If you would rather</w:t>
      </w:r>
      <w:r>
        <w:t xml:space="preserve"> </w:t>
      </w:r>
      <w:r>
        <w:t xml:space="preserve">not, tell us and we will part on good terms under section 15.</w:t>
      </w:r>
    </w:p>
    <w:p>
      <w:pPr>
        <w:pStyle w:val="MDHeading2"/>
      </w:pPr>
      <w:r>
        <w:t xml:space="preserve">17. General</w:t>
      </w:r>
      <w:bookmarkStart w:name="17-general" w:id="18"/>
      <w:bookmarkEnd w:id="18"/>
    </w:p>
    <w:p>
      <w:pPr>
        <w:pStyle w:val="MDParagraph"/>
      </w:pPr>
      <w:r>
        <w:t xml:space="preserve">This agreement, together with the cover page, is the whole of what we have agreed. It replaces</w:t>
      </w:r>
      <w:r>
        <w:t xml:space="preserve"> </w:t>
      </w:r>
      <w:r>
        <w:t xml:space="preserve">anything either of us said beforehand.</w:t>
      </w:r>
    </w:p>
    <w:p>
      <w:pPr>
        <w:pStyle w:val="MDParagraph"/>
      </w:pPr>
      <w:r>
        <w:t xml:space="preserve">Neither of us can transfer this agreement to anyone else without the other agreeing in writing.</w:t>
      </w:r>
    </w:p>
    <w:p>
      <w:pPr>
        <w:pStyle w:val="MDParagraph"/>
      </w:pPr>
      <w:r>
        <w:t xml:space="preserve">If a court finds any part of this unenforceable, the rest still stands.</w:t>
      </w:r>
    </w:p>
    <w:p>
      <w:pPr>
        <w:pStyle w:val="MDParagraph"/>
      </w:pPr>
      <w:r>
        <w:t xml:space="preserve">This agreement is governed by the law of England and Wales, and the courts of England and Wales</w:t>
      </w:r>
      <w:r>
        <w:t xml:space="preserve"> </w:t>
      </w:r>
      <w:r>
        <w:t xml:space="preserve">have jurisdiction.</w:t>
      </w:r>
    </w:p>
    <w:p>
      <w:pPr>
        <w:pStyle w:val="MDParagraph"/>
      </w:pPr>
      <w:r>
        <w:t xml:space="preserve">If something goes wrong between us, we will talk about it properly first and try to sort it out. We</w:t>
      </w:r>
      <w:r>
        <w:t xml:space="preserve"> </w:t>
      </w:r>
      <w:r>
        <w:t xml:space="preserve">are realistic about this. We may well be in different countries, and going to court over a</w:t>
      </w:r>
      <w:r>
        <w:t xml:space="preserve"> </w:t>
      </w:r>
      <w:r>
        <w:t xml:space="preserve">disagreement about a single consultation would cost both of us more than it could recover. If we</w:t>
      </w:r>
      <w:r>
        <w:t xml:space="preserve"> </w:t>
      </w:r>
      <w:r>
        <w:t xml:space="preserve">cannot fix it by talking, either of us can end this agreement under section 15 and walk away.</w:t>
      </w:r>
    </w:p>
    <w:p>
      <w:pPr>
        <w:pStyle w:val="MDParagraph"/>
      </w:pPr>
      <w:r>
        <w:t xml:space="preserve">This agreement is written in English, and the English version is the one that counts.</w:t>
      </w:r>
    </w:p>
    <w:p>
      <w:pPr>
        <w:pStyle w:val="MDHeading2"/>
      </w:pPr>
      <w:r>
        <w:t xml:space="preserve">Not legal advice</w:t>
      </w:r>
      <w:bookmarkStart w:name="not-legal-advice" w:id="19"/>
      <w:bookmarkEnd w:id="19"/>
    </w:p>
    <w:p>
      <w:pPr>
        <w:pStyle w:val="MDParagraph"/>
      </w:pPr>
      <w:r>
        <w:t xml:space="preserve">We are not lawyers. We have written this to be clear rather than clever, and it has not been</w:t>
      </w:r>
      <w:r>
        <w:t xml:space="preserve"> </w:t>
      </w:r>
      <w:r>
        <w:t xml:space="preserve">reviewed by a solicitor. If you would like your own legal advice on it before signing, please do so.</w:t>
      </w:r>
    </w:p>
    <w:p>
      <w:pPr>
        <w:pStyle w:val="MDHeading2"/>
      </w:pPr>
      <w:r>
        <w:t xml:space="preserve">Signatures</w:t>
      </w:r>
      <w:bookmarkStart w:name="signatures" w:id="20"/>
      <w:bookmarkEnd w:id="20"/>
    </w:p>
    <w:tbl>
      <w:tblPr>
        <w:tblStyle w:val="MDTable"/>
      </w:tblPr>
      <w:tblGrid>
        <w:gridCol/>
        <w:gridCol/>
        <w:gridCol/>
      </w:tblGrid>
      <w:tr>
        <w:tc>
          <w:tcPr>
            <w:tcW w:w="2000" w:type="dxa"/>
          </w:tcPr>
          <w:p>
            <w:pPr>
              <w:pStyle w:val="MDParagraph"/>
            </w:pPr>
          </w:p>
        </w:tc>
        <w:tc>
          <w:tcPr>
            <w:tcW w:w="2000" w:type="dxa"/>
          </w:tcPr>
          <w:p>
            <w:pPr>
              <w:pStyle w:val="MDParagraph"/>
            </w:pPr>
            <w:r>
              <w:t xml:space="preserve">CPO Ltd</w:t>
            </w:r>
          </w:p>
        </w:tc>
        <w:tc>
          <w:tcPr>
            <w:tcW w:w="2000" w:type="dxa"/>
          </w:tcPr>
          <w:p>
            <w:pPr>
              <w:pStyle w:val="MDParagraph"/>
            </w:pPr>
            <w:r>
              <w:t xml:space="preserve">Consultant</w:t>
            </w:r>
          </w:p>
        </w:tc>
      </w:tr>
      <w:tr>
        <w:tc>
          <w:tcPr>
            <w:tcW w:w="2000" w:type="dxa"/>
          </w:tcPr>
          <w:p>
            <w:pPr>
              <w:pStyle w:val="MDParagraph"/>
            </w:pPr>
            <w:r>
              <w:t xml:space="preserve">Signature</w:t>
            </w:r>
          </w:p>
        </w:tc>
        <w:tc>
          <w:tcPr>
            <w:tcW w:w="2000" w:type="dxa"/>
          </w:tcPr>
          <w:p>
            <w:pPr>
              <w:pStyle w:val="MDParagraph"/>
            </w:pPr>
          </w:p>
        </w:tc>
        <w:tc>
          <w:tcPr>
            <w:tcW w:w="2000" w:type="dxa"/>
          </w:tcPr>
          <w:p>
            <w:pPr>
              <w:pStyle w:val="MDParagraph"/>
            </w:pPr>
          </w:p>
        </w:tc>
      </w:tr>
      <w:tr>
        <w:tc>
          <w:tcPr>
            <w:tcW w:w="2000" w:type="dxa"/>
          </w:tcPr>
          <w:p>
            <w:pPr>
              <w:pStyle w:val="MDParagraph"/>
            </w:pPr>
            <w:r>
              <w:t xml:space="preserve">Name</w:t>
            </w:r>
          </w:p>
        </w:tc>
        <w:tc>
          <w:tcPr>
            <w:tcW w:w="2000" w:type="dxa"/>
          </w:tcPr>
          <w:p>
            <w:pPr>
              <w:pStyle w:val="MDParagraph"/>
            </w:pPr>
          </w:p>
        </w:tc>
        <w:tc>
          <w:tcPr>
            <w:tcW w:w="2000" w:type="dxa"/>
          </w:tcPr>
          <w:p>
            <w:pPr>
              <w:pStyle w:val="MDParagraph"/>
            </w:pPr>
          </w:p>
        </w:tc>
      </w:tr>
      <w:tr>
        <w:tc>
          <w:tcPr>
            <w:tcW w:w="2000" w:type="dxa"/>
          </w:tcPr>
          <w:p>
            <w:pPr>
              <w:pStyle w:val="MDParagraph"/>
            </w:pPr>
            <w:r>
              <w:t xml:space="preserve">Position</w:t>
            </w:r>
          </w:p>
        </w:tc>
        <w:tc>
          <w:tcPr>
            <w:tcW w:w="2000" w:type="dxa"/>
          </w:tcPr>
          <w:p>
            <w:pPr>
              <w:pStyle w:val="MDParagraph"/>
            </w:pPr>
          </w:p>
        </w:tc>
        <w:tc>
          <w:tcPr>
            <w:tcW w:w="2000" w:type="dxa"/>
          </w:tcPr>
          <w:p>
            <w:pPr>
              <w:pStyle w:val="MDParagraph"/>
            </w:pPr>
          </w:p>
        </w:tc>
      </w:tr>
      <w:tr>
        <w:tc>
          <w:tcPr>
            <w:tcW w:w="2000" w:type="dxa"/>
          </w:tcPr>
          <w:p>
            <w:pPr>
              <w:pStyle w:val="MDParagraph"/>
            </w:pPr>
            <w:r>
              <w:t xml:space="preserve">Date</w:t>
            </w:r>
          </w:p>
        </w:tc>
        <w:tc>
          <w:tcPr>
            <w:tcW w:w="2000" w:type="dxa"/>
          </w:tcPr>
          <w:p>
            <w:pPr>
              <w:pStyle w:val="MDParagraph"/>
            </w:pPr>
          </w:p>
        </w:tc>
        <w:tc>
          <w:tcPr>
            <w:tcW w:w="2000" w:type="dxa"/>
          </w:tcPr>
          <w:p>
            <w:pPr>
              <w:pStyle w:val="MDParagraph"/>
            </w:pPr>
          </w:p>
        </w:tc>
      </w:tr>
    </w:tbl>
    <w:sectPr w:rsidRPr="00A9269F" w:rsidR="00641271">
      <w:pgSz w:w="12239" w:h="15839"/>
      <w:pgMar w:top="1417" w:right="1133" w:bottom="1133" w:left="113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6B2FC3"/>
    <w:multiLevelType w:val="hybridMultilevel"/>
    <w:tmpl w:val="30582292"/>
    <w:styleLink w:val="MDBulletedListItem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BF0FFF"/>
    <w:multiLevelType w:val="hybridMultilevel"/>
    <w:tmpl w:val="C6704E58"/>
    <w:styleLink w:val="MDOrderedListItem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2638632">
    <w:abstractNumId w:val="0"/>
  </w:num>
  <w:num w:numId="2" w16cid:durableId="14665097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F3C"/>
    <w:rsid w:val="003603D4"/>
    <w:rsid w:val="00384B7B"/>
    <w:rsid w:val="003962DE"/>
    <w:rsid w:val="003A54A8"/>
    <w:rsid w:val="003C3388"/>
    <w:rsid w:val="004D418C"/>
    <w:rsid w:val="00641271"/>
    <w:rsid w:val="00651FAF"/>
    <w:rsid w:val="006E2F37"/>
    <w:rsid w:val="00827F74"/>
    <w:rsid w:val="009E1F3C"/>
    <w:rsid w:val="00A260BD"/>
    <w:rsid w:val="00A80535"/>
    <w:rsid w:val="00A9269F"/>
    <w:rsid w:val="00AA4015"/>
    <w:rsid w:val="00B95D7D"/>
    <w:rsid w:val="00C2593F"/>
    <w:rsid w:val="00D91BF2"/>
    <w:rsid w:val="00EF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76B56"/>
  <w15:chartTrackingRefBased/>
  <w15:docId w15:val="{4FE4ADFF-9CB5-43C4-80E4-44E0AA350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1F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1F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F3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1F3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1F3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1F3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1F3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1F3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1F3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1F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1F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F3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1F3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1F3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1F3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1F3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1F3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1F3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1F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1F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1F3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1F3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1F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1F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1F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1F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1F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1F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1F3C"/>
    <w:rPr>
      <w:b/>
      <w:bCs/>
      <w:smallCaps/>
      <w:color w:val="0F4761" w:themeColor="accent1" w:themeShade="BF"/>
      <w:spacing w:val="5"/>
    </w:rPr>
  </w:style>
  <w:style w:type="paragraph" w:customStyle="1" w:styleId="MDParagraph">
    <w:name w:val="MD Paragraph"/>
    <w:basedOn w:val="Normal"/>
    <w:qFormat/>
  </w:style>
  <w:style w:type="paragraph" w:customStyle="1" w:styleId="MDQuote">
    <w:name w:val="MD Quote"/>
    <w:basedOn w:val="MDParagraph"/>
    <w:link w:val="MDQuoteChar"/>
    <w:qFormat/>
    <w:pPr>
      <w:pBdr>
        <w:left w:val="single" w:sz="18" w:space="10" w:color="A6A6A6" w:themeColor="background1" w:themeShade="A6"/>
      </w:pBdr>
      <w:spacing w:before="240" w:after="120"/>
      <w:ind w:left="198"/>
    </w:pPr>
    <w:rPr>
      <w:color w:val="747474" w:themeColor="background2" w:themeShade="80"/>
    </w:rPr>
  </w:style>
  <w:style w:type="character" w:customStyle="1" w:styleId="MDQuoteChar">
    <w:name w:val="MD Quote Char"/>
    <w:basedOn w:val="DefaultParagraphFont"/>
    <w:link w:val="MDQuote"/>
    <w:qFormat/>
    <w:rPr>
      <w:color w:val="747474" w:themeColor="background2" w:themeShade="80"/>
      <w:sz w:val="24"/>
    </w:rPr>
  </w:style>
  <w:style w:type="paragraph" w:customStyle="1" w:styleId="MDCodeBlock">
    <w:name w:val="MD Code Block"/>
    <w:basedOn w:val="MDParagraph"/>
    <w:link w:val="MDCodeInline"/>
    <w:qFormat/>
    <w:pPr>
      <w:pBdr>
        <w:top w:val="single" w:sz="4" w:space="1" w:color="808080" w:themeColor="background1" w:themeShade="80"/>
        <w:left w:val="single" w:sz="4" w:space="4" w:color="808080" w:themeColor="background1" w:themeShade="80"/>
        <w:bottom w:val="single" w:sz="4" w:space="1" w:color="808080" w:themeColor="background1" w:themeShade="80"/>
        <w:right w:val="single" w:sz="4" w:space="4" w:color="808080" w:themeColor="background1" w:themeShade="80"/>
      </w:pBdr>
      <w:shd w:val="clear" w:color="auto" w:fill="D9D9D9" w:themeFill="background1" w:themeFillShade="D9"/>
    </w:pPr>
    <w:rPr>
      <w:rFonts w:ascii="Courier New" w:hAnsi="Courier New"/>
    </w:rPr>
  </w:style>
  <w:style w:type="character" w:customStyle="1" w:styleId="MDCodeInline">
    <w:name w:val="MD Code Inline"/>
    <w:basedOn w:val="DefaultParagraphFont"/>
    <w:link w:val="MDCodeBlock"/>
    <w:qFormat/>
    <w:rPr>
      <w:rFonts w:ascii="Courier New" w:hAnsi="Courier New"/>
      <w:sz w:val="24"/>
      <w:shd w:val="clear" w:color="auto" w:fill="D9D9D9" w:themeFill="background1" w:themeFillShade="D9"/>
      <w:lang w:val="en-US"/>
    </w:rPr>
  </w:style>
  <w:style w:type="paragraph" w:customStyle="1" w:styleId="MDHeading1">
    <w:name w:val="MD Heading 1"/>
    <w:basedOn w:val="Heading1"/>
    <w:next w:val="MDParagraph"/>
    <w:qFormat/>
    <w:rsid w:val="00A9269F"/>
    <w:rPr>
      <w:sz w:val="56"/>
    </w:rPr>
  </w:style>
  <w:style w:type="paragraph" w:customStyle="1" w:styleId="MDHeading2">
    <w:name w:val="MD Heading 2"/>
    <w:basedOn w:val="Heading2"/>
    <w:next w:val="MDParagraph"/>
    <w:qFormat/>
    <w:rsid w:val="00A9269F"/>
    <w:rPr>
      <w:sz w:val="44"/>
    </w:rPr>
  </w:style>
  <w:style w:type="paragraph" w:customStyle="1" w:styleId="MDHeading3">
    <w:name w:val="MD Heading 3"/>
    <w:basedOn w:val="Heading3"/>
    <w:next w:val="MDParagraph"/>
    <w:qFormat/>
    <w:rsid w:val="00A9269F"/>
    <w:rPr>
      <w:sz w:val="36"/>
    </w:rPr>
  </w:style>
  <w:style w:type="paragraph" w:customStyle="1" w:styleId="MDHeading4">
    <w:name w:val="MD Heading 4"/>
    <w:basedOn w:val="Heading4"/>
    <w:next w:val="MDParagraph"/>
    <w:qFormat/>
    <w:rsid w:val="00A9269F"/>
    <w:rPr>
      <w:i w:val="0"/>
      <w:sz w:val="32"/>
    </w:rPr>
  </w:style>
  <w:style w:type="paragraph" w:customStyle="1" w:styleId="MDHeading5">
    <w:name w:val="MD Heading 5"/>
    <w:basedOn w:val="Heading5"/>
    <w:next w:val="MDParagraph"/>
    <w:qFormat/>
    <w:rsid w:val="00A9269F"/>
    <w:rPr>
      <w:sz w:val="28"/>
    </w:rPr>
  </w:style>
  <w:style w:type="paragraph" w:customStyle="1" w:styleId="MDHeading6">
    <w:name w:val="MD Heading 6"/>
    <w:basedOn w:val="Heading6"/>
    <w:next w:val="MDParagraph"/>
    <w:qFormat/>
    <w:rsid w:val="00A9269F"/>
    <w:rPr>
      <w:i w:val="0"/>
      <w:color w:val="0F4761" w:themeColor="accent1" w:themeShade="BF"/>
    </w:rPr>
  </w:style>
  <w:style w:type="paragraph" w:customStyle="1" w:styleId="MDHorizontalLine">
    <w:name w:val="MD Horizontal Line"/>
    <w:basedOn w:val="MDParagraph"/>
    <w:next w:val="MDParagraph"/>
    <w:qFormat/>
    <w:pPr>
      <w:pBdr>
        <w:bottom w:val="single" w:sz="4" w:space="1" w:color="auto"/>
      </w:pBdr>
      <w:spacing w:after="120"/>
    </w:pPr>
    <w:rPr>
      <w:sz w:val="12"/>
    </w:rPr>
  </w:style>
  <w:style w:type="paragraph" w:customStyle="1" w:styleId="MDBulletedListItem">
    <w:name w:val="MD Bulleted List Item"/>
    <w:basedOn w:val="ListBullet"/>
    <w:qFormat/>
    <w:pPr>
      <w:numPr>
        <w:numId w:val="1"/>
      </w:numPr>
    </w:pPr>
  </w:style>
  <w:style w:type="paragraph" w:customStyle="1" w:styleId="MDOrderedListItem">
    <w:name w:val="MD Ordered List Item"/>
    <w:basedOn w:val="ListNumber"/>
    <w:qFormat/>
    <w:pPr>
      <w:numPr>
        <w:numId w:val="2"/>
      </w:numPr>
    </w:pPr>
  </w:style>
  <w:style w:type="table" w:customStyle="1" w:styleId="MDTable">
    <w:name w:val="MD Table"/>
    <w:uiPriority w:val="99"/>
    <w:pPr>
      <w:spacing w:after="0" w:line="240" w:lineRule="auto"/>
    </w:pPr>
    <w:rPr>
      <w:kern w:val="0"/>
      <w:sz w:val="20"/>
      <w:szCs w:val="2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D9D9D9"/>
      </w:tcPr>
    </w:tblStylePr>
  </w:style>
  <w:style w:type="character" w:styleId="Hyperlink">
    <w:name w:val="Hyperlink"/>
    <w:basedOn w:val="DefaultParagraphFont"/>
    <w:uiPriority w:val="99"/>
    <w:unhideWhenUsed/>
    <w:rsid w:val="003C338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3388"/>
    <w:rPr>
      <w:color w:val="605E5C"/>
      <w:shd w:val="clear" w:color="auto" w:fill="E1DFDD"/>
    </w:rPr>
  </w:style>
  <w:style w:type="character" w:customStyle="1" w:styleId="MDHyperlink">
    <w:name w:val="MD Hyperlink"/>
    <w:basedOn w:val="Hyperlink"/>
    <w:qFormat/>
    <w:rPr>
      <w:color w:val="467886" w:themeColor="hyperlink"/>
      <w:u w:val="single"/>
    </w:rPr>
  </w:style>
  <w:style w:type="paragraph" w:styleId="ListBullet">
    <w:name w:val="List Bullet"/>
    <w:basedOn w:val="Normal"/>
    <w:uiPriority w:val="99"/>
    <w:semiHidden/>
    <w:unhideWhenUsed/>
    <w:rsid w:val="006E2F37"/>
    <w:pPr>
      <w:numPr>
        <w:numId w:val="1"/>
      </w:numPr>
      <w:contextualSpacing/>
    </w:pPr>
  </w:style>
  <w:style w:type="paragraph" w:styleId="ListNumber">
    <w:name w:val="List Number"/>
    <w:basedOn w:val="Normal"/>
    <w:uiPriority w:val="99"/>
    <w:semiHidden/>
    <w:unhideWhenUsed/>
    <w:rsid w:val="006E2F37"/>
    <w:pPr>
      <w:numPr>
        <w:numId w:val="2"/>
      </w:numPr>
      <w:contextualSpacing/>
    </w:pPr>
  </w:style>
  <w:style w:type="paragraph" w:customStyle="1" w:styleId="MDDefinitionItem">
    <w:name w:val="MD Definition item"/>
    <w:basedOn w:val="MDParagraph"/>
    <w:qFormat/>
    <w:pPr>
      <w:ind w:left="720" w:right="720"/>
    </w:pPr>
  </w:style>
  <w:style w:type="paragraph" w:customStyle="1" w:styleId="MDDefinitionTerm">
    <w:name w:val="MD Definition term"/>
    <w:basedOn w:val="MDParagraph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yperlink" Target="https://electronoptics.com/help/licence" TargetMode="External" Id="L1" /><Relationship Type="http://schemas.openxmlformats.org/officeDocument/2006/relationships/hyperlink" Target="https://electronoptics.com/help/nda" TargetMode="External" Id="L2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Manfredi</dc:creator>
  <cp:keywords/>
  <dc:description/>
  <cp:lastModifiedBy>Manfredi</cp:lastModifiedBy>
  <cp:revision>8</cp:revision>
  <dcterms:created xsi:type="dcterms:W3CDTF">2025-09-01T21:41:00Z</dcterms:created>
  <dcterms:modified xsi:type="dcterms:W3CDTF">2025-09-01T22:43:00Z</dcterms:modified>
</cp:coreProperties>
</file>