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MDHeading1"/>
      </w:pPr>
      <w:r>
        <w:t xml:space="preserve">Mutual Non-Disclosure Agreement</w:t>
      </w:r>
      <w:bookmarkStart w:name="mutual-nondisclosure-agreement" w:id="0"/>
      <w:bookmarkEnd w:id="0"/>
    </w:p>
    <w:p>
      <w:pPr>
        <w:pStyle w:val="MDParagraph"/>
      </w:pPr>
      <w:r>
        <w:rPr xmlns:w="http://schemas.openxmlformats.org/wordprocessingml/2006/main">
          <w:b/>
        </w:rPr>
        <w:t xml:space="preserve">Version 1.0</w:t>
      </w:r>
    </w:p>
    <w:p>
      <w:pPr>
        <w:pStyle w:val="MDHeading2"/>
      </w:pPr>
      <w:r>
        <w:t xml:space="preserve">Cover page</w:t>
      </w:r>
      <w:bookmarkStart w:name="cover-page" w:id="1"/>
      <w:bookmarkEnd w:id="1"/>
    </w:p>
    <w:tbl>
      <w:tblPr>
        <w:tblStyle w:val="MDTable"/>
      </w:tblPr>
      <w:tblGrid>
        <w:gridCol/>
        <w:gridCol/>
      </w:tblGrid>
      <w:tr>
        <w:tc>
          <w:tcPr>
            <w:tcW w:w="2000" w:type="dxa"/>
          </w:tcPr>
          <w:p>
            <w:pPr>
              <w:pStyle w:val="MDParagraph"/>
            </w:pPr>
            <w:r>
              <w:t xml:space="preserve">Field</w:t>
            </w:r>
          </w:p>
        </w:tc>
        <w:tc>
          <w:tcPr>
            <w:tcW w:w="2000" w:type="dxa"/>
          </w:tcPr>
          <w:p>
            <w:pPr>
              <w:pStyle w:val="MDParagraph"/>
            </w:pPr>
            <w:r>
              <w:t xml:space="preserve">Value</w:t>
            </w:r>
          </w:p>
        </w:tc>
      </w:tr>
      <w:tr>
        <w:tc>
          <w:tcPr>
            <w:tcW w:w="2000" w:type="dxa"/>
          </w:tcPr>
          <w:p>
            <w:pPr>
              <w:pStyle w:val="MDParagraph"/>
            </w:pPr>
            <w:r>
              <w:t xml:space="preserve">First party</w:t>
            </w:r>
          </w:p>
        </w:tc>
        <w:tc>
          <w:tcPr>
            <w:tcW w:w="2000" w:type="dxa"/>
          </w:tcPr>
          <w:p>
            <w:pPr>
              <w:pStyle w:val="MDParagraph"/>
            </w:pPr>
          </w:p>
        </w:tc>
      </w:tr>
      <w:tr>
        <w:tc>
          <w:tcPr>
            <w:tcW w:w="2000" w:type="dxa"/>
          </w:tcPr>
          <w:p>
            <w:pPr>
              <w:pStyle w:val="MDParagraph"/>
            </w:pPr>
            <w:r>
              <w:t xml:space="preserve">Address</w:t>
            </w:r>
          </w:p>
        </w:tc>
        <w:tc>
          <w:tcPr>
            <w:tcW w:w="2000" w:type="dxa"/>
          </w:tcPr>
          <w:p>
            <w:pPr>
              <w:pStyle w:val="MDParagraph"/>
            </w:pPr>
          </w:p>
        </w:tc>
      </w:tr>
      <w:tr>
        <w:tc>
          <w:tcPr>
            <w:tcW w:w="2000" w:type="dxa"/>
          </w:tcPr>
          <w:p>
            <w:pPr>
              <w:pStyle w:val="MDParagraph"/>
            </w:pPr>
            <w:r>
              <w:t xml:space="preserve">Email</w:t>
            </w:r>
          </w:p>
        </w:tc>
        <w:tc>
          <w:tcPr>
            <w:tcW w:w="2000" w:type="dxa"/>
          </w:tcPr>
          <w:p>
            <w:pPr>
              <w:pStyle w:val="MDParagraph"/>
            </w:pPr>
          </w:p>
        </w:tc>
      </w:tr>
      <w:tr>
        <w:tc>
          <w:tcPr>
            <w:tcW w:w="2000" w:type="dxa"/>
          </w:tcPr>
          <w:p>
            <w:pPr>
              <w:pStyle w:val="MDParagraph"/>
            </w:pPr>
            <w:r>
              <w:t xml:space="preserve">Signatory</w:t>
            </w:r>
          </w:p>
        </w:tc>
        <w:tc>
          <w:tcPr>
            <w:tcW w:w="2000" w:type="dxa"/>
          </w:tcPr>
          <w:p>
            <w:pPr>
              <w:pStyle w:val="MDParagraph"/>
            </w:pPr>
          </w:p>
        </w:tc>
      </w:tr>
      <w:tr>
        <w:tc>
          <w:tcPr>
            <w:tcW w:w="2000" w:type="dxa"/>
          </w:tcPr>
          <w:p>
            <w:pPr>
              <w:pStyle w:val="MDParagraph"/>
            </w:pPr>
            <w:r>
              <w:t xml:space="preserve">Second party</w:t>
            </w:r>
          </w:p>
        </w:tc>
        <w:tc>
          <w:tcPr>
            <w:tcW w:w="2000" w:type="dxa"/>
          </w:tcPr>
          <w:p>
            <w:pPr>
              <w:pStyle w:val="MDParagraph"/>
            </w:pPr>
          </w:p>
        </w:tc>
      </w:tr>
      <w:tr>
        <w:tc>
          <w:tcPr>
            <w:tcW w:w="2000" w:type="dxa"/>
          </w:tcPr>
          <w:p>
            <w:pPr>
              <w:pStyle w:val="MDParagraph"/>
            </w:pPr>
            <w:r>
              <w:t xml:space="preserve">Address</w:t>
            </w:r>
          </w:p>
        </w:tc>
        <w:tc>
          <w:tcPr>
            <w:tcW w:w="2000" w:type="dxa"/>
          </w:tcPr>
          <w:p>
            <w:pPr>
              <w:pStyle w:val="MDParagraph"/>
            </w:pPr>
          </w:p>
        </w:tc>
      </w:tr>
      <w:tr>
        <w:tc>
          <w:tcPr>
            <w:tcW w:w="2000" w:type="dxa"/>
          </w:tcPr>
          <w:p>
            <w:pPr>
              <w:pStyle w:val="MDParagraph"/>
            </w:pPr>
            <w:r>
              <w:t xml:space="preserve">Email</w:t>
            </w:r>
          </w:p>
        </w:tc>
        <w:tc>
          <w:tcPr>
            <w:tcW w:w="2000" w:type="dxa"/>
          </w:tcPr>
          <w:p>
            <w:pPr>
              <w:pStyle w:val="MDParagraph"/>
            </w:pPr>
          </w:p>
        </w:tc>
      </w:tr>
      <w:tr>
        <w:tc>
          <w:tcPr>
            <w:tcW w:w="2000" w:type="dxa"/>
          </w:tcPr>
          <w:p>
            <w:pPr>
              <w:pStyle w:val="MDParagraph"/>
            </w:pPr>
            <w:r>
              <w:t xml:space="preserve">Signatory</w:t>
            </w:r>
          </w:p>
        </w:tc>
        <w:tc>
          <w:tcPr>
            <w:tcW w:w="2000" w:type="dxa"/>
          </w:tcPr>
          <w:p>
            <w:pPr>
              <w:pStyle w:val="MDParagraph"/>
            </w:pPr>
          </w:p>
        </w:tc>
      </w:tr>
      <w:tr>
        <w:tc>
          <w:tcPr>
            <w:tcW w:w="2000" w:type="dxa"/>
          </w:tcPr>
          <w:p>
            <w:pPr>
              <w:pStyle w:val="MDParagraph"/>
            </w:pPr>
            <w:r>
              <w:t xml:space="preserve">The Purpose</w:t>
            </w:r>
          </w:p>
        </w:tc>
        <w:tc>
          <w:tcPr>
            <w:tcW w:w="2000" w:type="dxa"/>
          </w:tcPr>
          <w:p>
            <w:pPr>
              <w:pStyle w:val="MDParagraph"/>
            </w:pPr>
          </w:p>
        </w:tc>
      </w:tr>
      <w:tr>
        <w:tc>
          <w:tcPr>
            <w:tcW w:w="2000" w:type="dxa"/>
          </w:tcPr>
          <w:p>
            <w:pPr>
              <w:pStyle w:val="MDParagraph"/>
            </w:pPr>
            <w:r>
              <w:t xml:space="preserve">Effective Date</w:t>
            </w:r>
          </w:p>
        </w:tc>
        <w:tc>
          <w:tcPr>
            <w:tcW w:w="2000" w:type="dxa"/>
          </w:tcPr>
          <w:p>
            <w:pPr>
              <w:pStyle w:val="MDParagraph"/>
            </w:pPr>
          </w:p>
        </w:tc>
      </w:tr>
      <w:tr>
        <w:tc>
          <w:tcPr>
            <w:tcW w:w="2000" w:type="dxa"/>
          </w:tcPr>
          <w:p>
            <w:pPr>
              <w:pStyle w:val="MDParagraph"/>
            </w:pPr>
            <w:r>
              <w:t xml:space="preserve">Agreement Term</w:t>
            </w:r>
          </w:p>
        </w:tc>
        <w:tc>
          <w:tcPr>
            <w:tcW w:w="2000" w:type="dxa"/>
          </w:tcPr>
          <w:p>
            <w:pPr>
              <w:pStyle w:val="MDParagraph"/>
            </w:pPr>
          </w:p>
        </w:tc>
      </w:tr>
      <w:tr>
        <w:tc>
          <w:tcPr>
            <w:tcW w:w="2000" w:type="dxa"/>
          </w:tcPr>
          <w:p>
            <w:pPr>
              <w:pStyle w:val="MDParagraph"/>
            </w:pPr>
            <w:r>
              <w:t xml:space="preserve">Confidentiality Period</w:t>
            </w:r>
          </w:p>
        </w:tc>
        <w:tc>
          <w:tcPr>
            <w:tcW w:w="2000" w:type="dxa"/>
          </w:tcPr>
          <w:p>
            <w:pPr>
              <w:pStyle w:val="MDParagraph"/>
            </w:pPr>
          </w:p>
        </w:tc>
      </w:tr>
      <w:tr>
        <w:tc>
          <w:tcPr>
            <w:tcW w:w="2000" w:type="dxa"/>
          </w:tcPr>
          <w:p>
            <w:pPr>
              <w:pStyle w:val="MDParagraph"/>
            </w:pPr>
            <w:r>
              <w:t xml:space="preserve">Governing law</w:t>
            </w:r>
          </w:p>
        </w:tc>
        <w:tc>
          <w:tcPr>
            <w:tcW w:w="2000" w:type="dxa"/>
          </w:tcPr>
          <w:p>
            <w:pPr>
              <w:pStyle w:val="MDParagraph"/>
            </w:pPr>
          </w:p>
        </w:tc>
      </w:tr>
      <w:tr>
        <w:tc>
          <w:tcPr>
            <w:tcW w:w="2000" w:type="dxa"/>
          </w:tcPr>
          <w:p>
            <w:pPr>
              <w:pStyle w:val="MDParagraph"/>
            </w:pPr>
            <w:r>
              <w:t xml:space="preserve">Place of mediation and arbitration</w:t>
            </w:r>
          </w:p>
        </w:tc>
        <w:tc>
          <w:tcPr>
            <w:tcW w:w="2000" w:type="dxa"/>
          </w:tcPr>
          <w:p>
            <w:pPr>
              <w:pStyle w:val="MDParagraph"/>
            </w:pPr>
          </w:p>
        </w:tc>
      </w:tr>
      <w:tr>
        <w:tc>
          <w:tcPr>
            <w:tcW w:w="2000" w:type="dxa"/>
          </w:tcPr>
          <w:p>
            <w:pPr>
              <w:pStyle w:val="MDParagraph"/>
            </w:pPr>
            <w:r>
              <w:t xml:space="preserve">Language</w:t>
            </w:r>
          </w:p>
        </w:tc>
        <w:tc>
          <w:tcPr>
            <w:tcW w:w="2000" w:type="dxa"/>
          </w:tcPr>
          <w:p>
            <w:pPr>
              <w:pStyle w:val="MDParagraph"/>
            </w:pPr>
          </w:p>
        </w:tc>
      </w:tr>
    </w:tbl>
    <w:p>
      <w:pPr>
        <w:pStyle w:val="MDParagraph"/>
      </w:pPr>
      <w:r>
        <w:t xml:space="preserve">Every field above must be filled in before either party signs. Section 11 depends on three of</w:t>
      </w:r>
      <w:r>
        <w:t xml:space="preserve"> </w:t>
      </w:r>
      <w:r>
        <w:t xml:space="preserve">them - the place, the language and the governing law - and an arbitration clause missing any of</w:t>
      </w:r>
      <w:r>
        <w:t xml:space="preserve"> </w:t>
      </w:r>
      <w:r>
        <w:t xml:space="preserve">those is worse than no clause at all.</w:t>
      </w:r>
    </w:p>
    <w:p>
      <w:pPr>
        <w:pStyle w:val="MDHeading2"/>
      </w:pPr>
      <w:r>
        <w:t xml:space="preserve">1. What this agreement is for</w:t>
      </w:r>
      <w:bookmarkStart w:name="1-what-this-agreement-is-for" w:id="2"/>
      <w:bookmarkEnd w:id="2"/>
    </w:p>
    <w:p>
      <w:pPr>
        <w:pStyle w:val="MDParagraph"/>
      </w:pPr>
      <w:r>
        <w:t xml:space="preserve">Each party wants to share confidential information with the other so that both can explore the</w:t>
      </w:r>
      <w:r>
        <w:t xml:space="preserve"> </w:t>
      </w:r>
      <w:r>
        <w:t xml:space="preserve">Purpose set out on the cover page. This agreement says how each party must look after what it</w:t>
      </w:r>
      <w:r>
        <w:t xml:space="preserve"> </w:t>
      </w:r>
      <w:r>
        <w:t xml:space="preserve">receives. It does not commit either party to do business, to buy anything, or to share anything in</w:t>
      </w:r>
      <w:r>
        <w:t xml:space="preserve"> </w:t>
      </w:r>
      <w:r>
        <w:t xml:space="preserve">particular.</w:t>
      </w:r>
    </w:p>
    <w:p>
      <w:pPr>
        <w:pStyle w:val="MDHeading2"/>
      </w:pPr>
      <w:r>
        <w:t xml:space="preserve">2. What counts as confidential information</w:t>
      </w:r>
      <w:bookmarkStart w:name="2-what-counts-as-confidential-informatio" w:id="3"/>
      <w:bookmarkEnd w:id="3"/>
    </w:p>
    <w:p>
      <w:pPr>
        <w:pStyle w:val="MDParagraph"/>
      </w:pPr>
      <w:r>
        <w:t xml:space="preserve">Confidential Information means information that one party (the discloser) gives to the other (the</w:t>
      </w:r>
      <w:r>
        <w:t xml:space="preserve"> </w:t>
      </w:r>
      <w:r>
        <w:t xml:space="preserve">recipient) for the Purpose, where it is marked as confidential or where a reasonable person would</w:t>
      </w:r>
      <w:r>
        <w:t xml:space="preserve"> </w:t>
      </w:r>
      <w:r>
        <w:t xml:space="preserve">understand from its nature or from the way it was shared that it is confidential.</w:t>
      </w:r>
    </w:p>
    <w:p>
      <w:pPr>
        <w:pStyle w:val="MDParagraph"/>
      </w:pPr>
      <w:r>
        <w:t xml:space="preserve">It covers designs, drawings, simulation data and results, source code, methods, test results,</w:t>
      </w:r>
      <w:r>
        <w:t xml:space="preserve"> </w:t>
      </w:r>
      <w:r>
        <w:t xml:space="preserve">prices, the names of customers and suppliers, business plans, and unpublished patent applications.</w:t>
      </w:r>
      <w:r>
        <w:t xml:space="preserve"> </w:t>
      </w:r>
      <w:r>
        <w:t xml:space="preserve">It applies whether the information is written, spoken, shown, or in any other form. The terms of</w:t>
      </w:r>
      <w:r>
        <w:t xml:space="preserve"> </w:t>
      </w:r>
      <w:r>
        <w:t xml:space="preserve">this agreement are themselves confidential.</w:t>
      </w:r>
    </w:p>
    <w:p>
      <w:pPr>
        <w:pStyle w:val="MDHeading2"/>
      </w:pPr>
      <w:r>
        <w:t xml:space="preserve">3. What does not count</w:t>
      </w:r>
      <w:bookmarkStart w:name="3-what-does-not-count" w:id="4"/>
      <w:bookmarkEnd w:id="4"/>
    </w:p>
    <w:p>
      <w:pPr>
        <w:pStyle w:val="MDParagraph"/>
      </w:pPr>
      <w:r>
        <w:t xml:space="preserve">This agreement does not apply to information that the recipient can show:</w:t>
      </w:r>
    </w:p>
    <w:p>
      <w:pPr>
        <w:pStyle w:val="MDBulletedListItem"/>
        <w:numPr>
          <w:ilvl w:val="0"/>
          <w:numId w:val="3"/>
        </w:numPr>
      </w:pPr>
      <w:r>
        <w:t xml:space="preserve">was already public, or later became public through no fault of the recipient;</w:t>
      </w:r>
    </w:p>
    <w:p>
      <w:pPr>
        <w:pStyle w:val="MDBulletedListItem"/>
        <w:numPr>
          <w:ilvl w:val="0"/>
          <w:numId w:val="3"/>
        </w:numPr>
      </w:pPr>
      <w:r>
        <w:t xml:space="preserve">the recipient already held, free of any duty of confidence, before receiving it;</w:t>
      </w:r>
    </w:p>
    <w:p>
      <w:pPr>
        <w:pStyle w:val="MDBulletedListItem"/>
        <w:numPr>
          <w:ilvl w:val="0"/>
          <w:numId w:val="3"/>
        </w:numPr>
      </w:pPr>
      <w:r>
        <w:t xml:space="preserve">a third party gave to the recipient, free of any duty of confidence; or</w:t>
      </w:r>
    </w:p>
    <w:p>
      <w:pPr>
        <w:pStyle w:val="MDBulletedListItem"/>
        <w:numPr>
          <w:ilvl w:val="0"/>
          <w:numId w:val="3"/>
        </w:numPr>
      </w:pPr>
      <w:r>
        <w:t xml:space="preserve">the recipient worked out on its own, without using the discloser's Confidential Information.</w:t>
      </w:r>
    </w:p>
    <w:p>
      <w:pPr>
        <w:pStyle w:val="MDParagraph"/>
      </w:pPr>
      <w:r>
        <w:t xml:space="preserve">Putting public pieces of information together does not make the combination public.</w:t>
      </w:r>
    </w:p>
    <w:p>
      <w:pPr>
        <w:pStyle w:val="MDHeading2"/>
      </w:pPr>
      <w:r>
        <w:t xml:space="preserve">4. What each party must do</w:t>
      </w:r>
      <w:bookmarkStart w:name="4-what-each-party-must-do" w:id="5"/>
      <w:bookmarkEnd w:id="5"/>
    </w:p>
    <w:p>
      <w:pPr>
        <w:pStyle w:val="MDParagraph"/>
      </w:pPr>
      <w:r>
        <w:t xml:space="preserve">Representatives means a party's employees, officers, professional advisers, contractors, and group</w:t>
      </w:r>
      <w:r>
        <w:t xml:space="preserve"> </w:t>
      </w:r>
      <w:r>
        <w:t xml:space="preserve">companies.</w:t>
      </w:r>
    </w:p>
    <w:p>
      <w:pPr>
        <w:pStyle w:val="MDParagraph"/>
      </w:pPr>
      <w:r>
        <w:t xml:space="preserve">A recipient must:</w:t>
      </w:r>
    </w:p>
    <w:p>
      <w:pPr>
        <w:pStyle w:val="MDBulletedListItem"/>
        <w:numPr>
          <w:ilvl w:val="0"/>
          <w:numId w:val="4"/>
        </w:numPr>
      </w:pPr>
      <w:r>
        <w:t xml:space="preserve">use the Confidential Information only for the Purpose;</w:t>
      </w:r>
    </w:p>
    <w:p>
      <w:pPr>
        <w:pStyle w:val="MDBulletedListItem"/>
        <w:numPr>
          <w:ilvl w:val="0"/>
          <w:numId w:val="4"/>
        </w:numPr>
      </w:pPr>
      <w:r>
        <w:t xml:space="preserve">keep it secret, protect it at least as carefully as it protects its own confidential</w:t>
      </w:r>
      <w:r>
        <w:t xml:space="preserve"> </w:t>
      </w:r>
      <w:r>
        <w:t xml:space="preserve">information, and never less carefully than is reasonable;</w:t>
      </w:r>
    </w:p>
    <w:p>
      <w:pPr>
        <w:pStyle w:val="MDBulletedListItem"/>
        <w:numPr>
          <w:ilvl w:val="0"/>
          <w:numId w:val="4"/>
        </w:numPr>
      </w:pPr>
      <w:r>
        <w:t xml:space="preserve">share it only with those of its Representatives who need it for the Purpose and who are bound by</w:t>
      </w:r>
      <w:r>
        <w:t xml:space="preserve"> </w:t>
      </w:r>
      <w:r>
        <w:t xml:space="preserve">duties of confidence at least as strict as these; and</w:t>
      </w:r>
    </w:p>
    <w:p>
      <w:pPr>
        <w:pStyle w:val="MDBulletedListItem"/>
        <w:numPr>
          <w:ilvl w:val="0"/>
          <w:numId w:val="4"/>
        </w:numPr>
      </w:pPr>
      <w:r>
        <w:t xml:space="preserve">tell the discloser promptly if it finds that the information has been lost, or shared or used in</w:t>
      </w:r>
      <w:r>
        <w:t xml:space="preserve"> </w:t>
      </w:r>
      <w:r>
        <w:t xml:space="preserve">a way this agreement does not allow.</w:t>
      </w:r>
    </w:p>
    <w:p>
      <w:pPr>
        <w:pStyle w:val="MDParagraph"/>
      </w:pPr>
      <w:r>
        <w:t xml:space="preserve">A recipient is responsible for what its Representatives do with the information.</w:t>
      </w:r>
    </w:p>
    <w:p>
      <w:pPr>
        <w:pStyle w:val="MDHeading2"/>
      </w:pPr>
      <w:r>
        <w:t xml:space="preserve">5. When the law requires disclosure</w:t>
      </w:r>
      <w:bookmarkStart w:name="5-when-the-law-requires-disclosure" w:id="6"/>
      <w:bookmarkEnd w:id="6"/>
    </w:p>
    <w:p>
      <w:pPr>
        <w:pStyle w:val="MDParagraph"/>
      </w:pPr>
      <w:r>
        <w:t xml:space="preserve">A recipient may share Confidential Information if the law, a court, or a regulator requires it.</w:t>
      </w:r>
      <w:r>
        <w:t xml:space="preserve"> </w:t>
      </w:r>
      <w:r>
        <w:t xml:space="preserve">Where it is allowed to, the recipient must tell the discloser first, so that the discloser has a</w:t>
      </w:r>
      <w:r>
        <w:t xml:space="preserve"> </w:t>
      </w:r>
      <w:r>
        <w:t xml:space="preserve">chance to object or to seek protection, and must share no more than is required. The information</w:t>
      </w:r>
      <w:r>
        <w:t xml:space="preserve"> </w:t>
      </w:r>
      <w:r>
        <w:t xml:space="preserve">stays confidential for every other purpose.</w:t>
      </w:r>
    </w:p>
    <w:p>
      <w:pPr>
        <w:pStyle w:val="MDHeading2"/>
      </w:pPr>
      <w:r>
        <w:t xml:space="preserve">6. How long this lasts</w:t>
      </w:r>
      <w:bookmarkStart w:name="6-how-long-this-lasts" w:id="7"/>
      <w:bookmarkEnd w:id="7"/>
    </w:p>
    <w:p>
      <w:pPr>
        <w:pStyle w:val="MDParagraph"/>
      </w:pPr>
      <w:r>
        <w:t xml:space="preserve">This agreement starts on the Effective Date and runs for the Agreement Term. Either party may end</w:t>
      </w:r>
      <w:r>
        <w:t xml:space="preserve"> </w:t>
      </w:r>
      <w:r>
        <w:t xml:space="preserve">it earlier by giving the other written notice.</w:t>
      </w:r>
    </w:p>
    <w:p>
      <w:pPr>
        <w:pStyle w:val="MDParagraph"/>
      </w:pPr>
      <w:r>
        <w:t xml:space="preserve">The duties in this agreement last for the Confidentiality Period, counted from the day the</w:t>
      </w:r>
      <w:r>
        <w:t xml:space="preserve"> </w:t>
      </w:r>
      <w:r>
        <w:t xml:space="preserve">information was shared, even if the agreement itself has ended. Information that is a trade secret</w:t>
      </w:r>
      <w:r>
        <w:t xml:space="preserve"> </w:t>
      </w:r>
      <w:r>
        <w:t xml:space="preserve">stays protected for as long as it remains a trade secret.</w:t>
      </w:r>
    </w:p>
    <w:p>
      <w:pPr>
        <w:pStyle w:val="MDHeading2"/>
      </w:pPr>
      <w:r>
        <w:t xml:space="preserve">7. Returning or deleting information</w:t>
      </w:r>
      <w:bookmarkStart w:name="7-returning-or-deleting-information" w:id="8"/>
      <w:bookmarkEnd w:id="8"/>
    </w:p>
    <w:p>
      <w:pPr>
        <w:pStyle w:val="MDParagraph"/>
      </w:pPr>
      <w:r>
        <w:t xml:space="preserve">When this agreement ends, or if the discloser asks earlier, the recipient must return or delete the</w:t>
      </w:r>
      <w:r>
        <w:t xml:space="preserve"> </w:t>
      </w:r>
      <w:r>
        <w:t xml:space="preserve">Confidential Information it holds and confirm in writing that it has done so.</w:t>
      </w:r>
    </w:p>
    <w:p>
      <w:pPr>
        <w:pStyle w:val="MDParagraph"/>
      </w:pPr>
      <w:r>
        <w:t xml:space="preserve">The recipient may keep one copy if the law requires it to, and does not have to delete copies made</w:t>
      </w:r>
      <w:r>
        <w:t xml:space="preserve"> </w:t>
      </w:r>
      <w:r>
        <w:t xml:space="preserve">automatically by routine backup systems. Anything kept stays subject to this agreement.</w:t>
      </w:r>
    </w:p>
    <w:p>
      <w:pPr>
        <w:pStyle w:val="MDHeading2"/>
      </w:pPr>
      <w:r>
        <w:t xml:space="preserve">8. Who owns what</w:t>
      </w:r>
      <w:bookmarkStart w:name="8-who-owns-what" w:id="9"/>
      <w:bookmarkEnd w:id="9"/>
    </w:p>
    <w:p>
      <w:pPr>
        <w:pStyle w:val="MDParagraph"/>
      </w:pPr>
      <w:r>
        <w:t xml:space="preserve">Confidential Information stays the property of the discloser. This agreement gives the recipient no</w:t>
      </w:r>
      <w:r>
        <w:t xml:space="preserve"> </w:t>
      </w:r>
      <w:r>
        <w:t xml:space="preserve">licence and no rights in it, and no rights in any patent, copyright, trade mark, or other</w:t>
      </w:r>
      <w:r>
        <w:t xml:space="preserve"> </w:t>
      </w:r>
      <w:r>
        <w:t xml:space="preserve">intellectual property.</w:t>
      </w:r>
    </w:p>
    <w:p>
      <w:pPr>
        <w:pStyle w:val="MDParagraph"/>
      </w:pPr>
      <w:r>
        <w:t xml:space="preserve">Ideas and suggestions that one party gives the other about the other's own information stay with</w:t>
      </w:r>
      <w:r>
        <w:t xml:space="preserve"> </w:t>
      </w:r>
      <w:r>
        <w:t xml:space="preserve">the party who gave them.</w:t>
      </w:r>
    </w:p>
    <w:p>
      <w:pPr>
        <w:pStyle w:val="MDParagraph"/>
      </w:pPr>
      <w:r>
        <w:t xml:space="preserve">Nothing here creates a partnership, a joint venture, or employment between the parties, and nothing</w:t>
      </w:r>
      <w:r>
        <w:t xml:space="preserve"> </w:t>
      </w:r>
      <w:r>
        <w:t xml:space="preserve">obliges either party to enter into any further agreement.</w:t>
      </w:r>
    </w:p>
    <w:p>
      <w:pPr>
        <w:pStyle w:val="MDHeading2"/>
      </w:pPr>
      <w:r>
        <w:t xml:space="preserve">9. Artificial intelligence and machine learning</w:t>
      </w:r>
      <w:bookmarkStart w:name="9-artificial-intelligence-and-machine-le" w:id="10"/>
      <w:bookmarkEnd w:id="10"/>
    </w:p>
    <w:p>
      <w:pPr>
        <w:pStyle w:val="MDParagraph"/>
      </w:pPr>
      <w:r>
        <w:t xml:space="preserve">A recipient must not put the discloser's Confidential Information into a publicly available</w:t>
      </w:r>
      <w:r>
        <w:t xml:space="preserve"> </w:t>
      </w:r>
      <w:r>
        <w:t xml:space="preserve">artificial intelligence or machine learning service that may train on what it receives.</w:t>
      </w:r>
    </w:p>
    <w:p>
      <w:pPr>
        <w:pStyle w:val="MDParagraph"/>
      </w:pPr>
      <w:r>
        <w:t xml:space="preserve">Services used under an agreement that prevents training on the recipient's data are allowed. The</w:t>
      </w:r>
      <w:r>
        <w:t xml:space="preserve"> </w:t>
      </w:r>
      <w:r>
        <w:t xml:space="preserve">recipient stays responsible for the information under this agreement. If in doubt, ask the</w:t>
      </w:r>
      <w:r>
        <w:t xml:space="preserve"> </w:t>
      </w:r>
      <w:r>
        <w:t xml:space="preserve">discloser first.</w:t>
      </w:r>
    </w:p>
    <w:p>
      <w:pPr>
        <w:pStyle w:val="MDHeading2"/>
      </w:pPr>
      <w:r>
        <w:t xml:space="preserve">10. No warranty</w:t>
      </w:r>
      <w:bookmarkStart w:name="10-no-warranty" w:id="11"/>
      <w:bookmarkEnd w:id="11"/>
    </w:p>
    <w:p>
      <w:pPr>
        <w:pStyle w:val="MDParagraph"/>
      </w:pPr>
      <w:r>
        <w:t xml:space="preserve">Confidential Information is shared as it is. Neither party promises that what it shares is accurate</w:t>
      </w:r>
      <w:r>
        <w:t xml:space="preserve"> </w:t>
      </w:r>
      <w:r>
        <w:t xml:space="preserve">or complete, and neither is liable to the other for how the other uses it. Nothing in this</w:t>
      </w:r>
      <w:r>
        <w:t xml:space="preserve"> </w:t>
      </w:r>
      <w:r>
        <w:t xml:space="preserve">agreement limits liability for fraud, or for anything that the law does not allow to be limited.</w:t>
      </w:r>
    </w:p>
    <w:p>
      <w:pPr>
        <w:pStyle w:val="MDHeading2"/>
      </w:pPr>
      <w:r>
        <w:t xml:space="preserve">11. If something goes wrong</w:t>
      </w:r>
      <w:bookmarkStart w:name="11-if-something-goes-wrong" w:id="12"/>
      <w:bookmarkEnd w:id="12"/>
    </w:p>
    <w:p>
      <w:pPr>
        <w:pStyle w:val="MDParagraph"/>
      </w:pPr>
      <w:r>
        <w:t xml:space="preserve">If a dispute arises, it goes to mediation first, and only if mediation fails does it go to</w:t>
      </w:r>
      <w:r>
        <w:t xml:space="preserve"> </w:t>
      </w:r>
      <w:r>
        <w:t xml:space="preserve">arbitration. The formal wording below sets out how that works. Nothing stops the parties settling</w:t>
      </w:r>
      <w:r>
        <w:t xml:space="preserve"> </w:t>
      </w:r>
      <w:r>
        <w:t xml:space="preserve">it by talking before either step.</w:t>
      </w:r>
    </w:p>
    <w:p>
      <w:pPr>
        <w:pStyle w:val="MDParagraph"/>
      </w:pPr>
      <w:r>
        <w:t xml:space="preserve">Either party may still ask any court for an urgent order to stop a breach - waiting for a tribunal</w:t>
      </w:r>
      <w:r>
        <w:t xml:space="preserve"> </w:t>
      </w:r>
      <w:r>
        <w:t xml:space="preserve">to be appointed while information is being leaked would defeat the purpose of this agreement.</w:t>
      </w:r>
    </w:p>
    <w:p>
      <w:pPr>
        <w:pStyle w:val="MDParagraph"/>
      </w:pPr>
      <w:r>
        <w:t xml:space="preserve">Any dispute, controversy or claim arising under, out of or relating to this contract and any</w:t>
      </w:r>
      <w:r>
        <w:t xml:space="preserve"> </w:t>
      </w:r>
      <w:r>
        <w:t xml:space="preserve">subsequent amendments of this contract, including, without limitation, its formation, validity,</w:t>
      </w:r>
      <w:r>
        <w:t xml:space="preserve"> </w:t>
      </w:r>
      <w:r>
        <w:t xml:space="preserve">binding effect, interpretation, performance, breach or termination, as well as non-contractual</w:t>
      </w:r>
      <w:r>
        <w:t xml:space="preserve"> </w:t>
      </w:r>
      <w:r>
        <w:t xml:space="preserve">claims, shall be submitted to mediation in accordance with the WIPO Mediation Rules. The place of</w:t>
      </w:r>
      <w:r>
        <w:t xml:space="preserve"> </w:t>
      </w:r>
      <w:r>
        <w:t xml:space="preserve">mediation shall be the place named on the cover page. The language to be used in the mediation</w:t>
      </w:r>
      <w:r>
        <w:t xml:space="preserve"> </w:t>
      </w:r>
      <w:r>
        <w:t xml:space="preserve">shall be the language named on the cover page.</w:t>
      </w:r>
    </w:p>
    <w:p>
      <w:pPr>
        <w:pStyle w:val="MDParagraph"/>
      </w:pPr>
      <w:r>
        <w:t xml:space="preserve">If, and to the extent that, any such dispute, controversy or claim has not been settled pursuant to</w:t>
      </w:r>
      <w:r>
        <w:t xml:space="preserve"> </w:t>
      </w:r>
      <w:r>
        <w:t xml:space="preserve">the mediation within 60 days of the commencement of the mediation, it shall, upon the filing of a</w:t>
      </w:r>
      <w:r>
        <w:t xml:space="preserve"> </w:t>
      </w:r>
      <w:r>
        <w:t xml:space="preserve">Request for Arbitration by either party, be referred to and finally determined by arbitration in</w:t>
      </w:r>
      <w:r>
        <w:t xml:space="preserve"> </w:t>
      </w:r>
      <w:r>
        <w:t xml:space="preserve">accordance with the WIPO Expedited Arbitration Rules. Alternatively, if, before the expiration of</w:t>
      </w:r>
      <w:r>
        <w:t xml:space="preserve"> </w:t>
      </w:r>
      <w:r>
        <w:t xml:space="preserve">the said period of 60 days, either party fails to participate or to continue to participate in the</w:t>
      </w:r>
      <w:r>
        <w:t xml:space="preserve"> </w:t>
      </w:r>
      <w:r>
        <w:t xml:space="preserve">mediation, the dispute, controversy or claim shall, upon the filing of a Request for Arbitration by</w:t>
      </w:r>
      <w:r>
        <w:t xml:space="preserve"> </w:t>
      </w:r>
      <w:r>
        <w:t xml:space="preserve">the other party, be referred to and finally determined by arbitration in accordance with the WIPO</w:t>
      </w:r>
      <w:r>
        <w:t xml:space="preserve"> </w:t>
      </w:r>
      <w:r>
        <w:t xml:space="preserve">Expedited Arbitration Rules. The arbitral tribunal shall consist of a sole arbitrator. The place of</w:t>
      </w:r>
      <w:r>
        <w:t xml:space="preserve"> </w:t>
      </w:r>
      <w:r>
        <w:t xml:space="preserve">arbitration shall be the place named on the cover page. The language to be used in the arbitral</w:t>
      </w:r>
      <w:r>
        <w:t xml:space="preserve"> </w:t>
      </w:r>
      <w:r>
        <w:t xml:space="preserve">proceedings shall be the language named on the cover page. The dispute, controversy or claim</w:t>
      </w:r>
      <w:r>
        <w:t xml:space="preserve"> </w:t>
      </w:r>
      <w:r>
        <w:t xml:space="preserve">referred to arbitration shall be decided in accordance with the law of the jurisdiction named on</w:t>
      </w:r>
      <w:r>
        <w:t xml:space="preserve"> </w:t>
      </w:r>
      <w:r>
        <w:t xml:space="preserve">the cover page.</w:t>
      </w:r>
    </w:p>
    <w:p>
      <w:pPr>
        <w:pStyle w:val="MDHeading2"/>
      </w:pPr>
      <w:r>
        <w:t xml:space="preserve">12. General</w:t>
      </w:r>
      <w:bookmarkStart w:name="12-general" w:id="13"/>
      <w:bookmarkEnd w:id="13"/>
    </w:p>
    <w:p>
      <w:pPr>
        <w:pStyle w:val="MDBulletedListItem"/>
        <w:numPr>
          <w:ilvl w:val="0"/>
          <w:numId w:val="5"/>
        </w:numPr>
      </w:pPr>
      <w:r>
        <w:t xml:space="preserve">This is the whole agreement between the parties about confidentiality, and it replaces anything</w:t>
      </w:r>
      <w:r>
        <w:t xml:space="preserve"> </w:t>
      </w:r>
      <w:r>
        <w:t xml:space="preserve">agreed earlier on that subject.</w:t>
      </w:r>
    </w:p>
    <w:p>
      <w:pPr>
        <w:pStyle w:val="MDBulletedListItem"/>
        <w:numPr>
          <w:ilvl w:val="0"/>
          <w:numId w:val="5"/>
        </w:numPr>
      </w:pPr>
      <w:r>
        <w:t xml:space="preserve">Any change must be in writing and signed by both parties.</w:t>
      </w:r>
    </w:p>
    <w:p>
      <w:pPr>
        <w:pStyle w:val="MDBulletedListItem"/>
        <w:numPr>
          <w:ilvl w:val="0"/>
          <w:numId w:val="5"/>
        </w:numPr>
      </w:pPr>
      <w:r>
        <w:t xml:space="preserve">If a court or tribunal finds that part of this agreement cannot be enforced, the rest still</w:t>
      </w:r>
      <w:r>
        <w:t xml:space="preserve"> </w:t>
      </w:r>
      <w:r>
        <w:t xml:space="preserve">applies.</w:t>
      </w:r>
    </w:p>
    <w:p>
      <w:pPr>
        <w:pStyle w:val="MDBulletedListItem"/>
        <w:numPr>
          <w:ilvl w:val="0"/>
          <w:numId w:val="5"/>
        </w:numPr>
      </w:pPr>
      <w:r>
        <w:t xml:space="preserve">Not enforcing a term on one occasion does not give it up.</w:t>
      </w:r>
    </w:p>
    <w:p>
      <w:pPr>
        <w:pStyle w:val="MDBulletedListItem"/>
        <w:numPr>
          <w:ilvl w:val="0"/>
          <w:numId w:val="5"/>
        </w:numPr>
      </w:pPr>
      <w:r>
        <w:t xml:space="preserve">Neither party may transfer this agreement without the other's written consent, except to a buyer</w:t>
      </w:r>
      <w:r>
        <w:t xml:space="preserve"> </w:t>
      </w:r>
      <w:r>
        <w:t xml:space="preserve">of its business.</w:t>
      </w:r>
    </w:p>
    <w:p>
      <w:pPr>
        <w:pStyle w:val="MDBulletedListItem"/>
        <w:numPr>
          <w:ilvl w:val="0"/>
          <w:numId w:val="5"/>
        </w:numPr>
      </w:pPr>
      <w:r>
        <w:t xml:space="preserve">Notices must be in writing and sent to the addresses on the cover page, by email or by post.</w:t>
      </w:r>
    </w:p>
    <w:p>
      <w:pPr>
        <w:pStyle w:val="MDBulletedListItem"/>
        <w:numPr>
          <w:ilvl w:val="0"/>
          <w:numId w:val="5"/>
        </w:numPr>
      </w:pPr>
      <w:r>
        <w:t xml:space="preserve">This agreement may be signed in counterparts, including electronically.</w:t>
      </w:r>
    </w:p>
    <w:p>
      <w:pPr>
        <w:pStyle w:val="MDBulletedListItem"/>
        <w:numPr>
          <w:ilvl w:val="0"/>
          <w:numId w:val="5"/>
        </w:numPr>
      </w:pPr>
      <w:r>
        <w:t xml:space="preserve">This agreement is written in English, and English governs its meaning.</w:t>
      </w:r>
    </w:p>
    <w:p>
      <w:pPr>
        <w:pStyle w:val="MDHeading2"/>
      </w:pPr>
      <w:r>
        <w:t xml:space="preserve">Signatures</w:t>
      </w:r>
      <w:bookmarkStart w:name="signatures" w:id="14"/>
      <w:bookmarkEnd w:id="14"/>
    </w:p>
    <w:tbl>
      <w:tblPr>
        <w:tblStyle w:val="MDTable"/>
      </w:tblPr>
      <w:tblGrid>
        <w:gridCol/>
        <w:gridCol/>
      </w:tblGrid>
      <w:tr>
        <w:tc>
          <w:tcPr>
            <w:tcW w:w="2000" w:type="dxa"/>
          </w:tcPr>
          <w:p>
            <w:pPr>
              <w:pStyle w:val="MDParagraph"/>
            </w:pPr>
            <w:r>
              <w:t xml:space="preserve">First party</w:t>
            </w:r>
          </w:p>
        </w:tc>
        <w:tc>
          <w:tcPr>
            <w:tcW w:w="2000" w:type="dxa"/>
          </w:tcPr>
          <w:p>
            <w:pPr>
              <w:pStyle w:val="MDParagraph"/>
            </w:pPr>
            <w:r>
              <w:t xml:space="preserve">Second party</w:t>
            </w:r>
          </w:p>
        </w:tc>
      </w:tr>
      <w:tr>
        <w:tc>
          <w:tcPr>
            <w:tcW w:w="2000" w:type="dxa"/>
          </w:tcPr>
          <w:p>
            <w:pPr>
              <w:pStyle w:val="MDParagraph"/>
            </w:pPr>
            <w:r>
              <w:t xml:space="preserve">Name</w:t>
            </w:r>
          </w:p>
        </w:tc>
        <w:tc>
          <w:tcPr>
            <w:tcW w:w="2000" w:type="dxa"/>
          </w:tcPr>
          <w:p>
            <w:pPr>
              <w:pStyle w:val="MDParagraph"/>
            </w:pPr>
            <w:r>
              <w:t xml:space="preserve">Name</w:t>
            </w:r>
          </w:p>
        </w:tc>
      </w:tr>
      <w:tr>
        <w:tc>
          <w:tcPr>
            <w:tcW w:w="2000" w:type="dxa"/>
          </w:tcPr>
          <w:p>
            <w:pPr>
              <w:pStyle w:val="MDParagraph"/>
            </w:pPr>
            <w:r>
              <w:t xml:space="preserve">Signature</w:t>
            </w:r>
          </w:p>
        </w:tc>
        <w:tc>
          <w:tcPr>
            <w:tcW w:w="2000" w:type="dxa"/>
          </w:tcPr>
          <w:p>
            <w:pPr>
              <w:pStyle w:val="MDParagraph"/>
            </w:pPr>
            <w:r>
              <w:t xml:space="preserve">Signature</w:t>
            </w:r>
          </w:p>
        </w:tc>
      </w:tr>
      <w:tr>
        <w:tc>
          <w:tcPr>
            <w:tcW w:w="2000" w:type="dxa"/>
          </w:tcPr>
          <w:p>
            <w:pPr>
              <w:pStyle w:val="MDParagraph"/>
            </w:pPr>
            <w:r>
              <w:t xml:space="preserve">Title</w:t>
            </w:r>
          </w:p>
        </w:tc>
        <w:tc>
          <w:tcPr>
            <w:tcW w:w="2000" w:type="dxa"/>
          </w:tcPr>
          <w:p>
            <w:pPr>
              <w:pStyle w:val="MDParagraph"/>
            </w:pPr>
            <w:r>
              <w:t xml:space="preserve">Title</w:t>
            </w:r>
          </w:p>
        </w:tc>
      </w:tr>
      <w:tr>
        <w:tc>
          <w:tcPr>
            <w:tcW w:w="2000" w:type="dxa"/>
          </w:tcPr>
          <w:p>
            <w:pPr>
              <w:pStyle w:val="MDParagraph"/>
            </w:pPr>
            <w:r>
              <w:t xml:space="preserve">Date</w:t>
            </w:r>
          </w:p>
        </w:tc>
        <w:tc>
          <w:tcPr>
            <w:tcW w:w="2000" w:type="dxa"/>
          </w:tcPr>
          <w:p>
            <w:pPr>
              <w:pStyle w:val="MDParagraph"/>
            </w:pPr>
            <w:r>
              <w:t xml:space="preserve">Date</w:t>
            </w:r>
          </w:p>
        </w:tc>
      </w:tr>
    </w:tbl>
    <w:p>
      <w:pPr>
        <w:pStyle w:val="MDHorizontalLine"/>
      </w:pPr>
      <w:r>
        <w:t/>
      </w:r>
    </w:p>
    <w:p>
      <w:pPr>
        <w:pStyle w:val="MDParagraph"/>
      </w:pPr>
      <w:r>
        <w:t xml:space="preserve">Adapted from the </w:t>
      </w:r>
      <w:hyperlink r:id="L1">
        <w:r>
          <w:rPr>
            <w:rStyle w:val="MDHyperlink"/>
          </w:rPr>
          <w:t xml:space="preserve">Common Paper</w:t>
        </w:r>
      </w:hyperlink>
      <w:r>
        <w:t xml:space="preserve"> Mutual Non-Disclosure Agreement.</w:t>
      </w:r>
    </w:p>
    <w:p>
      <w:pPr>
        <w:pStyle w:val="MDParagraph"/>
      </w:pPr>
      <w:r>
        <w:t xml:space="preserve">Used under </w:t>
      </w:r>
      <w:hyperlink r:id="L2">
        <w:r>
          <w:rPr>
            <w:rStyle w:val="MDHyperlink"/>
          </w:rPr>
          <w:t xml:space="preserve">CC BY 4.0</w:t>
        </w:r>
      </w:hyperlink>
      <w:r>
        <w:t xml:space="preserve">.</w:t>
      </w:r>
    </w:p>
    <w:p>
      <w:pPr>
        <w:pStyle w:val="MDParagraph"/>
      </w:pPr>
      <w:r>
        <w:rPr xmlns:w="http://schemas.openxmlformats.org/wordprocessingml/2006/main">
          <w:b/>
        </w:rPr>
        <w:t xml:space="preserve">This is a template, not legal advice.</w:t>
      </w:r>
      <w:r>
        <w:t xml:space="preserve"> We are not lawyers and this document has not been</w:t>
      </w:r>
      <w:r>
        <w:t xml:space="preserve"> </w:t>
      </w:r>
      <w:r>
        <w:t xml:space="preserve">reviewed by any.  If you intend to rely on it, take your own</w:t>
      </w:r>
      <w:r>
        <w:t xml:space="preserve"> </w:t>
      </w:r>
      <w:r>
        <w:t xml:space="preserve">legal advice - particularly on the governing law and the place of arbitration.</w:t>
      </w:r>
    </w:p>
    <w:sectPr w:rsidRPr="00A9269F" w:rsidR="00641271">
      <w:pgSz w:w="12239" w:h="15839"/>
      <w:pgMar w:top="1417" w:right="1133" w:bottom="1133" w:left="113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B2FC3"/>
    <w:multiLevelType w:val="hybridMultilevel"/>
    <w:tmpl w:val="30582292"/>
    <w:styleLink w:val="MDBulletedListItem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CBF0FFF"/>
    <w:multiLevelType w:val="hybridMultilevel"/>
    <w:tmpl w:val="C6704E58"/>
    <w:styleLink w:val="MDOrderedListItem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2638632">
    <w:abstractNumId w:val="0"/>
  </w:num>
  <w:num w:numId="2" w16cid:durableId="1466509711">
    <w:abstractNumId w:val="1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F3C"/>
    <w:rsid w:val="003603D4"/>
    <w:rsid w:val="00384B7B"/>
    <w:rsid w:val="003962DE"/>
    <w:rsid w:val="003A54A8"/>
    <w:rsid w:val="003C3388"/>
    <w:rsid w:val="004D418C"/>
    <w:rsid w:val="00641271"/>
    <w:rsid w:val="00651FAF"/>
    <w:rsid w:val="006E2F37"/>
    <w:rsid w:val="00827F74"/>
    <w:rsid w:val="009E1F3C"/>
    <w:rsid w:val="00A260BD"/>
    <w:rsid w:val="00A80535"/>
    <w:rsid w:val="00A9269F"/>
    <w:rsid w:val="00AA4015"/>
    <w:rsid w:val="00B95D7D"/>
    <w:rsid w:val="00C2593F"/>
    <w:rsid w:val="00D91BF2"/>
    <w:rsid w:val="00EF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76B56"/>
  <w15:chartTrackingRefBased/>
  <w15:docId w15:val="{4FE4ADFF-9CB5-43C4-80E4-44E0AA350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1F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1F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F3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1F3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1F3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1F3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1F3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1F3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1F3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1F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1F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F3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1F3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1F3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1F3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1F3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1F3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1F3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1F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1F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1F3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1F3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1F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1F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1F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1F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1F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1F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1F3C"/>
    <w:rPr>
      <w:b/>
      <w:bCs/>
      <w:smallCaps/>
      <w:color w:val="0F4761" w:themeColor="accent1" w:themeShade="BF"/>
      <w:spacing w:val="5"/>
    </w:rPr>
  </w:style>
  <w:style w:type="paragraph" w:customStyle="1" w:styleId="MDParagraph">
    <w:name w:val="MD Paragraph"/>
    <w:basedOn w:val="Normal"/>
    <w:qFormat/>
  </w:style>
  <w:style w:type="paragraph" w:customStyle="1" w:styleId="MDQuote">
    <w:name w:val="MD Quote"/>
    <w:basedOn w:val="MDParagraph"/>
    <w:link w:val="MDQuoteChar"/>
    <w:qFormat/>
    <w:pPr>
      <w:pBdr>
        <w:left w:val="single" w:sz="18" w:space="10" w:color="A6A6A6" w:themeColor="background1" w:themeShade="A6"/>
      </w:pBdr>
      <w:spacing w:before="240" w:after="120"/>
      <w:ind w:left="198"/>
    </w:pPr>
    <w:rPr>
      <w:color w:val="747474" w:themeColor="background2" w:themeShade="80"/>
    </w:rPr>
  </w:style>
  <w:style w:type="character" w:customStyle="1" w:styleId="MDQuoteChar">
    <w:name w:val="MD Quote Char"/>
    <w:basedOn w:val="DefaultParagraphFont"/>
    <w:link w:val="MDQuote"/>
    <w:qFormat/>
    <w:rPr>
      <w:color w:val="747474" w:themeColor="background2" w:themeShade="80"/>
      <w:sz w:val="24"/>
    </w:rPr>
  </w:style>
  <w:style w:type="paragraph" w:customStyle="1" w:styleId="MDCodeBlock">
    <w:name w:val="MD Code Block"/>
    <w:basedOn w:val="MDParagraph"/>
    <w:link w:val="MDCodeInline"/>
    <w:qFormat/>
    <w:pPr>
      <w:pBdr>
        <w:top w:val="single" w:sz="4" w:space="1" w:color="808080" w:themeColor="background1" w:themeShade="80"/>
        <w:left w:val="single" w:sz="4" w:space="4" w:color="808080" w:themeColor="background1" w:themeShade="80"/>
        <w:bottom w:val="single" w:sz="4" w:space="1" w:color="808080" w:themeColor="background1" w:themeShade="80"/>
        <w:right w:val="single" w:sz="4" w:space="4" w:color="808080" w:themeColor="background1" w:themeShade="80"/>
      </w:pBdr>
      <w:shd w:val="clear" w:color="auto" w:fill="D9D9D9" w:themeFill="background1" w:themeFillShade="D9"/>
    </w:pPr>
    <w:rPr>
      <w:rFonts w:ascii="Courier New" w:hAnsi="Courier New"/>
    </w:rPr>
  </w:style>
  <w:style w:type="character" w:customStyle="1" w:styleId="MDCodeInline">
    <w:name w:val="MD Code Inline"/>
    <w:basedOn w:val="DefaultParagraphFont"/>
    <w:link w:val="MDCodeBlock"/>
    <w:qFormat/>
    <w:rPr>
      <w:rFonts w:ascii="Courier New" w:hAnsi="Courier New"/>
      <w:sz w:val="24"/>
      <w:shd w:val="clear" w:color="auto" w:fill="D9D9D9" w:themeFill="background1" w:themeFillShade="D9"/>
      <w:lang w:val="en-US"/>
    </w:rPr>
  </w:style>
  <w:style w:type="paragraph" w:customStyle="1" w:styleId="MDHeading1">
    <w:name w:val="MD Heading 1"/>
    <w:basedOn w:val="Heading1"/>
    <w:next w:val="MDParagraph"/>
    <w:qFormat/>
    <w:rsid w:val="00A9269F"/>
    <w:rPr>
      <w:sz w:val="56"/>
    </w:rPr>
  </w:style>
  <w:style w:type="paragraph" w:customStyle="1" w:styleId="MDHeading2">
    <w:name w:val="MD Heading 2"/>
    <w:basedOn w:val="Heading2"/>
    <w:next w:val="MDParagraph"/>
    <w:qFormat/>
    <w:rsid w:val="00A9269F"/>
    <w:rPr>
      <w:sz w:val="44"/>
    </w:rPr>
  </w:style>
  <w:style w:type="paragraph" w:customStyle="1" w:styleId="MDHeading3">
    <w:name w:val="MD Heading 3"/>
    <w:basedOn w:val="Heading3"/>
    <w:next w:val="MDParagraph"/>
    <w:qFormat/>
    <w:rsid w:val="00A9269F"/>
    <w:rPr>
      <w:sz w:val="36"/>
    </w:rPr>
  </w:style>
  <w:style w:type="paragraph" w:customStyle="1" w:styleId="MDHeading4">
    <w:name w:val="MD Heading 4"/>
    <w:basedOn w:val="Heading4"/>
    <w:next w:val="MDParagraph"/>
    <w:qFormat/>
    <w:rsid w:val="00A9269F"/>
    <w:rPr>
      <w:i w:val="0"/>
      <w:sz w:val="32"/>
    </w:rPr>
  </w:style>
  <w:style w:type="paragraph" w:customStyle="1" w:styleId="MDHeading5">
    <w:name w:val="MD Heading 5"/>
    <w:basedOn w:val="Heading5"/>
    <w:next w:val="MDParagraph"/>
    <w:qFormat/>
    <w:rsid w:val="00A9269F"/>
    <w:rPr>
      <w:sz w:val="28"/>
    </w:rPr>
  </w:style>
  <w:style w:type="paragraph" w:customStyle="1" w:styleId="MDHeading6">
    <w:name w:val="MD Heading 6"/>
    <w:basedOn w:val="Heading6"/>
    <w:next w:val="MDParagraph"/>
    <w:qFormat/>
    <w:rsid w:val="00A9269F"/>
    <w:rPr>
      <w:i w:val="0"/>
      <w:color w:val="0F4761" w:themeColor="accent1" w:themeShade="BF"/>
    </w:rPr>
  </w:style>
  <w:style w:type="paragraph" w:customStyle="1" w:styleId="MDHorizontalLine">
    <w:name w:val="MD Horizontal Line"/>
    <w:basedOn w:val="MDParagraph"/>
    <w:next w:val="MDParagraph"/>
    <w:qFormat/>
    <w:pPr>
      <w:pBdr>
        <w:bottom w:val="single" w:sz="4" w:space="1" w:color="auto"/>
      </w:pBdr>
      <w:spacing w:after="120"/>
    </w:pPr>
    <w:rPr>
      <w:sz w:val="12"/>
    </w:rPr>
  </w:style>
  <w:style w:type="paragraph" w:customStyle="1" w:styleId="MDBulletedListItem">
    <w:name w:val="MD Bulleted List Item"/>
    <w:basedOn w:val="ListBullet"/>
    <w:qFormat/>
    <w:pPr>
      <w:numPr>
        <w:numId w:val="1"/>
      </w:numPr>
    </w:pPr>
  </w:style>
  <w:style w:type="paragraph" w:customStyle="1" w:styleId="MDOrderedListItem">
    <w:name w:val="MD Ordered List Item"/>
    <w:basedOn w:val="ListNumber"/>
    <w:qFormat/>
    <w:pPr>
      <w:numPr>
        <w:numId w:val="2"/>
      </w:numPr>
    </w:pPr>
  </w:style>
  <w:style w:type="table" w:customStyle="1" w:styleId="MDTable">
    <w:name w:val="MD Table"/>
    <w:uiPriority w:val="99"/>
    <w:pPr>
      <w:spacing w:after="0" w:line="240" w:lineRule="auto"/>
    </w:pPr>
    <w:rPr>
      <w:kern w:val="0"/>
      <w:sz w:val="20"/>
      <w:szCs w:val="2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D9D9D9"/>
      </w:tcPr>
    </w:tblStylePr>
  </w:style>
  <w:style w:type="character" w:styleId="Hyperlink">
    <w:name w:val="Hyperlink"/>
    <w:basedOn w:val="DefaultParagraphFont"/>
    <w:uiPriority w:val="99"/>
    <w:unhideWhenUsed/>
    <w:rsid w:val="003C338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3388"/>
    <w:rPr>
      <w:color w:val="605E5C"/>
      <w:shd w:val="clear" w:color="auto" w:fill="E1DFDD"/>
    </w:rPr>
  </w:style>
  <w:style w:type="character" w:customStyle="1" w:styleId="MDHyperlink">
    <w:name w:val="MD Hyperlink"/>
    <w:basedOn w:val="Hyperlink"/>
    <w:qFormat/>
    <w:rPr>
      <w:color w:val="467886" w:themeColor="hyperlink"/>
      <w:u w:val="single"/>
    </w:rPr>
  </w:style>
  <w:style w:type="paragraph" w:styleId="ListBullet">
    <w:name w:val="List Bullet"/>
    <w:basedOn w:val="Normal"/>
    <w:uiPriority w:val="99"/>
    <w:semiHidden/>
    <w:unhideWhenUsed/>
    <w:rsid w:val="006E2F37"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6E2F37"/>
    <w:pPr>
      <w:numPr>
        <w:numId w:val="2"/>
      </w:numPr>
      <w:contextualSpacing/>
    </w:pPr>
  </w:style>
  <w:style w:type="paragraph" w:customStyle="1" w:styleId="MDDefinitionItem">
    <w:name w:val="MD Definition item"/>
    <w:basedOn w:val="MDParagraph"/>
    <w:qFormat/>
    <w:pPr>
      <w:ind w:left="720" w:right="720"/>
    </w:pPr>
  </w:style>
  <w:style w:type="paragraph" w:customStyle="1" w:styleId="MDDefinitionTerm">
    <w:name w:val="MD Definition term"/>
    <w:basedOn w:val="MDParagraph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yperlink" Target="https://commonpaper.com/standards/mutual-nda/" TargetMode="External" Id="L1" /><Relationship Type="http://schemas.openxmlformats.org/officeDocument/2006/relationships/hyperlink" Target="https://creativecommons.org/licenses/by/4.0/" TargetMode="External" Id="L2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Manfredi</dc:creator>
  <cp:keywords/>
  <dc:description/>
  <cp:lastModifiedBy>Manfredi</cp:lastModifiedBy>
  <cp:revision>8</cp:revision>
  <dcterms:created xsi:type="dcterms:W3CDTF">2025-09-01T21:41:00Z</dcterms:created>
  <dcterms:modified xsi:type="dcterms:W3CDTF">2025-09-01T22:43:00Z</dcterms:modified>
</cp:coreProperties>
</file>